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AD" w:rsidRPr="0091656A" w:rsidRDefault="00E465BC" w:rsidP="001C56AD">
      <w:pPr>
        <w:pStyle w:val="Heading1"/>
        <w:rPr>
          <w:sz w:val="48"/>
          <w:szCs w:val="48"/>
          <w:lang w:val="en-ZA"/>
        </w:rPr>
      </w:pPr>
      <w:r w:rsidRPr="0091656A">
        <w:rPr>
          <w:sz w:val="48"/>
          <w:szCs w:val="48"/>
          <w:lang w:val="en-ZA"/>
        </w:rPr>
        <w:t xml:space="preserve">Communication and Advocacy Strategy </w:t>
      </w:r>
      <w:r w:rsidR="00323B39">
        <w:rPr>
          <w:sz w:val="48"/>
          <w:szCs w:val="48"/>
          <w:lang w:val="en-ZA"/>
        </w:rPr>
        <w:t>for Teacher ICT Professional Development in Guyana</w:t>
      </w:r>
    </w:p>
    <w:p w:rsidR="00E465BC" w:rsidRDefault="00540FCF" w:rsidP="00E465BC">
      <w:pPr>
        <w:pStyle w:val="Heading2"/>
        <w:rPr>
          <w:lang w:val="en-ZA"/>
        </w:rPr>
      </w:pPr>
      <w:r>
        <w:rPr>
          <w:lang w:val="en-ZA"/>
        </w:rPr>
        <w:t>Introduction</w:t>
      </w:r>
    </w:p>
    <w:p w:rsidR="00FF17DC" w:rsidRPr="00C2548D" w:rsidRDefault="00F5567A" w:rsidP="00FF17DC">
      <w:pPr>
        <w:rPr>
          <w:lang w:val="en-ZA"/>
        </w:rPr>
      </w:pPr>
      <w:r>
        <w:rPr>
          <w:lang w:val="en-ZA"/>
        </w:rPr>
        <w:t>A</w:t>
      </w:r>
      <w:r w:rsidR="00FF17DC" w:rsidRPr="00C2548D">
        <w:rPr>
          <w:lang w:val="en-ZA"/>
        </w:rPr>
        <w:t xml:space="preserve">n ICT </w:t>
      </w:r>
      <w:r w:rsidR="00FF17DC">
        <w:rPr>
          <w:lang w:val="en-ZA"/>
        </w:rPr>
        <w:t xml:space="preserve">Professional Development Strategy </w:t>
      </w:r>
      <w:r>
        <w:rPr>
          <w:lang w:val="en-ZA"/>
        </w:rPr>
        <w:t xml:space="preserve">has been established </w:t>
      </w:r>
      <w:r w:rsidR="00FF17DC" w:rsidRPr="00C2548D">
        <w:rPr>
          <w:lang w:val="en-ZA"/>
        </w:rPr>
        <w:t>for Teachers in Guyana. There is strong government commitment to rollout of ICT in education</w:t>
      </w:r>
      <w:r w:rsidR="00FF17DC">
        <w:rPr>
          <w:lang w:val="en-ZA"/>
        </w:rPr>
        <w:t xml:space="preserve"> </w:t>
      </w:r>
      <w:r w:rsidR="00FF17DC" w:rsidRPr="00C2548D">
        <w:rPr>
          <w:lang w:val="en-ZA"/>
        </w:rPr>
        <w:t xml:space="preserve">combined with growing allocations of financial resources – both through government budgets and funded projects – to finance this rollout. The rationale for such investments is already well established, both globally and in Guyanese policy proclamations. However, international experience highlights that, without accompanying investment in professional development of the users of this infrastructure, the funds used to procure ICT can lead to significant wastage and high levels of systemic disappointment </w:t>
      </w:r>
      <w:r w:rsidR="00FF17DC">
        <w:rPr>
          <w:lang w:val="en-ZA"/>
        </w:rPr>
        <w:t xml:space="preserve">caused by apparent </w:t>
      </w:r>
      <w:r w:rsidR="00FF17DC" w:rsidRPr="00C2548D">
        <w:rPr>
          <w:lang w:val="en-ZA"/>
        </w:rPr>
        <w:t xml:space="preserve">lack of positive impact of ICT on education outputs. Consequently, there is a need to provide a structured framework, and accompanying professional development offerings, to </w:t>
      </w:r>
      <w:r w:rsidR="00FF17DC">
        <w:rPr>
          <w:lang w:val="en-ZA"/>
        </w:rPr>
        <w:t xml:space="preserve">systematize </w:t>
      </w:r>
      <w:r w:rsidR="00FF17DC" w:rsidRPr="00C2548D">
        <w:rPr>
          <w:lang w:val="en-ZA"/>
        </w:rPr>
        <w:t>professional development in use of ICT for teaching and learning in Guyana.</w:t>
      </w:r>
    </w:p>
    <w:p w:rsidR="00FF17DC" w:rsidRPr="00C2548D" w:rsidRDefault="00FF17DC" w:rsidP="00FF17DC">
      <w:pPr>
        <w:rPr>
          <w:lang w:val="en-ZA"/>
        </w:rPr>
      </w:pPr>
    </w:p>
    <w:p w:rsidR="00FF17DC" w:rsidRPr="00C2548D" w:rsidRDefault="00FF17DC" w:rsidP="00FF17DC">
      <w:pPr>
        <w:rPr>
          <w:lang w:val="en-ZA"/>
        </w:rPr>
      </w:pPr>
      <w:r>
        <w:rPr>
          <w:lang w:val="en-ZA"/>
        </w:rPr>
        <w:t>Thus</w:t>
      </w:r>
      <w:r w:rsidRPr="00C2548D">
        <w:rPr>
          <w:lang w:val="en-ZA"/>
        </w:rPr>
        <w:t xml:space="preserve">, </w:t>
      </w:r>
      <w:r w:rsidR="00F5567A">
        <w:rPr>
          <w:lang w:val="en-ZA"/>
        </w:rPr>
        <w:t xml:space="preserve">the Ministry of Education is </w:t>
      </w:r>
      <w:r w:rsidRPr="00C2548D">
        <w:rPr>
          <w:lang w:val="en-ZA"/>
        </w:rPr>
        <w:t>invest</w:t>
      </w:r>
      <w:r w:rsidR="00F5567A">
        <w:rPr>
          <w:lang w:val="en-ZA"/>
        </w:rPr>
        <w:t>ing</w:t>
      </w:r>
      <w:r w:rsidRPr="00C2548D">
        <w:rPr>
          <w:lang w:val="en-ZA"/>
        </w:rPr>
        <w:t xml:space="preserve"> in </w:t>
      </w:r>
      <w:r>
        <w:rPr>
          <w:lang w:val="en-ZA"/>
        </w:rPr>
        <w:t xml:space="preserve">establishing </w:t>
      </w:r>
      <w:r w:rsidRPr="00C2548D">
        <w:rPr>
          <w:lang w:val="en-ZA"/>
        </w:rPr>
        <w:t>a</w:t>
      </w:r>
      <w:r>
        <w:rPr>
          <w:lang w:val="en-ZA"/>
        </w:rPr>
        <w:t>n</w:t>
      </w:r>
      <w:r w:rsidRPr="00C2548D">
        <w:rPr>
          <w:lang w:val="en-ZA"/>
        </w:rPr>
        <w:t xml:space="preserve"> ICT </w:t>
      </w:r>
      <w:r>
        <w:rPr>
          <w:lang w:val="en-ZA"/>
        </w:rPr>
        <w:t xml:space="preserve">Professional Development Strategy </w:t>
      </w:r>
      <w:r w:rsidRPr="00C2548D">
        <w:rPr>
          <w:lang w:val="en-ZA"/>
        </w:rPr>
        <w:t xml:space="preserve">for Teachers in Guyana. This </w:t>
      </w:r>
      <w:r>
        <w:rPr>
          <w:lang w:val="en-ZA"/>
        </w:rPr>
        <w:t xml:space="preserve">Strategy </w:t>
      </w:r>
      <w:r w:rsidRPr="00C2548D">
        <w:rPr>
          <w:lang w:val="en-ZA"/>
        </w:rPr>
        <w:t>shares the broader vision of the Guyana Ministry of Education’s ICT Operational Plan that:</w:t>
      </w:r>
    </w:p>
    <w:p w:rsidR="00FF17DC" w:rsidRPr="00C2548D" w:rsidRDefault="00FF17DC" w:rsidP="00FF17DC">
      <w:pPr>
        <w:pStyle w:val="BodyTextIndent"/>
        <w:rPr>
          <w:lang w:val="en-ZA"/>
        </w:rPr>
      </w:pPr>
      <w:r w:rsidRPr="00C2548D">
        <w:rPr>
          <w:lang w:val="en-ZA"/>
        </w:rPr>
        <w:t>ICT and other assistive technologies for educational delivery will be supporting a quality and accessible teaching and learning environment at all levels of the education system in Guyana. Further, most graduates of the Secondary level will have attained core competencies in ICT Literacy.</w:t>
      </w:r>
    </w:p>
    <w:p w:rsidR="00FF17DC" w:rsidRPr="00C2548D" w:rsidRDefault="00FF17DC" w:rsidP="00FF17DC">
      <w:pPr>
        <w:rPr>
          <w:lang w:val="en-ZA"/>
        </w:rPr>
      </w:pPr>
    </w:p>
    <w:p w:rsidR="00F851AA" w:rsidRPr="00F851AA" w:rsidRDefault="00F851AA" w:rsidP="00F851AA">
      <w:pPr>
        <w:rPr>
          <w:color w:val="000000" w:themeColor="text1"/>
          <w:lang w:val="en-ZA"/>
        </w:rPr>
      </w:pPr>
      <w:r w:rsidRPr="00F851AA">
        <w:rPr>
          <w:color w:val="000000" w:themeColor="text1"/>
          <w:lang w:val="en-ZA"/>
        </w:rPr>
        <w:t xml:space="preserve">The long-term </w:t>
      </w:r>
      <w:r>
        <w:rPr>
          <w:color w:val="000000" w:themeColor="text1"/>
          <w:lang w:val="en-ZA"/>
        </w:rPr>
        <w:t>objectives</w:t>
      </w:r>
      <w:r w:rsidRPr="00F851AA">
        <w:rPr>
          <w:color w:val="000000" w:themeColor="text1"/>
          <w:lang w:val="en-ZA"/>
        </w:rPr>
        <w:t xml:space="preserve"> of the ICT Professional Development Strategy for Teachers in Guyana </w:t>
      </w:r>
      <w:r w:rsidR="00F5567A">
        <w:rPr>
          <w:color w:val="000000" w:themeColor="text1"/>
          <w:lang w:val="en-ZA"/>
        </w:rPr>
        <w:t xml:space="preserve">are </w:t>
      </w:r>
      <w:r w:rsidRPr="00F851AA">
        <w:rPr>
          <w:color w:val="000000" w:themeColor="text1"/>
          <w:lang w:val="en-ZA"/>
        </w:rPr>
        <w:t xml:space="preserve">to ensure that all Ministry of Education officials, </w:t>
      </w:r>
      <w:r w:rsidRPr="00F851AA">
        <w:rPr>
          <w:color w:val="000000" w:themeColor="text1"/>
        </w:rPr>
        <w:t xml:space="preserve">teacher development management and staff, </w:t>
      </w:r>
      <w:r w:rsidRPr="00F851AA">
        <w:rPr>
          <w:color w:val="000000" w:themeColor="text1"/>
          <w:lang w:val="en-ZA"/>
        </w:rPr>
        <w:t>school principals, and teachers are competent to harness ICT effectively to support high quality teaching and learning in Guyanese schools, with:</w:t>
      </w:r>
    </w:p>
    <w:p w:rsidR="00F851AA" w:rsidRPr="00F851AA" w:rsidRDefault="00F851AA" w:rsidP="003915A1">
      <w:pPr>
        <w:numPr>
          <w:ilvl w:val="0"/>
          <w:numId w:val="9"/>
        </w:numPr>
        <w:rPr>
          <w:color w:val="000000" w:themeColor="text1"/>
          <w:lang w:val="en-ZA"/>
        </w:rPr>
      </w:pPr>
      <w:r w:rsidRPr="00F851AA">
        <w:rPr>
          <w:color w:val="000000" w:themeColor="text1"/>
          <w:lang w:val="en-ZA"/>
        </w:rPr>
        <w:t>Most able to integrate the use of basic ICT tools into the standard school curriculum, pedagogy, and classroom structures, knowing how, where, and when (as well as when not) to use technology for classroom activities and presentations, for management tasks, and to acquire additional subject matter and pedagogical knowledge in support of their own professional development; and</w:t>
      </w:r>
    </w:p>
    <w:p w:rsidR="00F851AA" w:rsidRDefault="00F851AA" w:rsidP="003915A1">
      <w:pPr>
        <w:numPr>
          <w:ilvl w:val="0"/>
          <w:numId w:val="9"/>
        </w:numPr>
        <w:rPr>
          <w:color w:val="000000" w:themeColor="text1"/>
          <w:lang w:val="en-ZA"/>
        </w:rPr>
      </w:pPr>
      <w:r w:rsidRPr="00F851AA">
        <w:rPr>
          <w:color w:val="000000" w:themeColor="text1"/>
          <w:lang w:val="en-ZA"/>
        </w:rPr>
        <w:t>A critical mass able to use more sophisticated methodologies and technologies with changes in the curriculum that emphasize depth of understanding and application of school knowledge to real world problems and pedagogy in which the teacher serves as a guide and manager of the learning environment and students are engaged in extended, collaborative project-based learning activities that can go beyond the classroom and may involve local or global collaborations.</w:t>
      </w:r>
      <w:r w:rsidRPr="00F851AA">
        <w:rPr>
          <w:rStyle w:val="FootnoteReference"/>
          <w:color w:val="000000" w:themeColor="text1"/>
          <w:lang w:val="en-ZA"/>
        </w:rPr>
        <w:footnoteReference w:id="1"/>
      </w:r>
    </w:p>
    <w:p w:rsidR="00233F03" w:rsidRDefault="00233F03" w:rsidP="00323B39">
      <w:pPr>
        <w:rPr>
          <w:lang w:val="en-ZA"/>
        </w:rPr>
      </w:pPr>
    </w:p>
    <w:p w:rsidR="00323B39" w:rsidRDefault="00323B39" w:rsidP="00323B39">
      <w:pPr>
        <w:rPr>
          <w:lang w:val="en-ZA"/>
        </w:rPr>
      </w:pPr>
      <w:r w:rsidRPr="00C2548D">
        <w:rPr>
          <w:lang w:val="en-ZA"/>
        </w:rPr>
        <w:t xml:space="preserve">The ICT </w:t>
      </w:r>
      <w:r>
        <w:rPr>
          <w:lang w:val="en-ZA"/>
        </w:rPr>
        <w:t xml:space="preserve">Professional Development Strategy </w:t>
      </w:r>
      <w:r w:rsidRPr="00C2548D">
        <w:rPr>
          <w:lang w:val="en-ZA"/>
        </w:rPr>
        <w:t>for Teachers in Guyana provide</w:t>
      </w:r>
      <w:r w:rsidR="00DF67C1">
        <w:rPr>
          <w:lang w:val="en-ZA"/>
        </w:rPr>
        <w:t>s</w:t>
      </w:r>
      <w:r w:rsidRPr="00C2548D">
        <w:rPr>
          <w:lang w:val="en-ZA"/>
        </w:rPr>
        <w:t xml:space="preserve"> a comprehensive framework and learning pathway for Ministry of Education officials, school principals, administrators, and teachers to become competent to harness ICT effectively to support high quality teaching and learning. This learning pathway </w:t>
      </w:r>
      <w:r w:rsidR="00DF67C1">
        <w:rPr>
          <w:lang w:val="en-ZA"/>
        </w:rPr>
        <w:t xml:space="preserve">uses </w:t>
      </w:r>
      <w:r w:rsidRPr="00C2548D">
        <w:rPr>
          <w:lang w:val="en-ZA"/>
        </w:rPr>
        <w:t xml:space="preserve">the UNESCO ICT CFT as its guiding framework. It </w:t>
      </w:r>
      <w:r w:rsidRPr="00C2548D">
        <w:rPr>
          <w:lang w:val="en-ZA"/>
        </w:rPr>
        <w:lastRenderedPageBreak/>
        <w:t>will seek to develop core competences for the key intended audiences for a suite of professional development initiatives</w:t>
      </w:r>
      <w:r>
        <w:rPr>
          <w:lang w:val="en-ZA"/>
        </w:rPr>
        <w:t>.</w:t>
      </w:r>
    </w:p>
    <w:p w:rsidR="00323B39" w:rsidRDefault="00323B39" w:rsidP="00323B39">
      <w:pPr>
        <w:rPr>
          <w:lang w:val="en-ZA"/>
        </w:rPr>
      </w:pPr>
    </w:p>
    <w:p w:rsidR="00323B39" w:rsidRPr="00323B39" w:rsidRDefault="00323B39" w:rsidP="00DF67C1">
      <w:pPr>
        <w:rPr>
          <w:lang w:val="en-ZA"/>
        </w:rPr>
      </w:pPr>
      <w:r>
        <w:rPr>
          <w:lang w:val="en-ZA"/>
        </w:rPr>
        <w:t xml:space="preserve">This document presents a </w:t>
      </w:r>
      <w:r w:rsidRPr="00323B39">
        <w:rPr>
          <w:lang w:val="en-ZA"/>
        </w:rPr>
        <w:t xml:space="preserve">Communication and Advocacy Strategy for </w:t>
      </w:r>
      <w:r w:rsidR="00F851AA" w:rsidRPr="00F851AA">
        <w:rPr>
          <w:color w:val="000000" w:themeColor="text1"/>
          <w:lang w:val="en-ZA"/>
        </w:rPr>
        <w:t xml:space="preserve">Teacher ICT Professional Development in Guyana </w:t>
      </w:r>
      <w:r w:rsidR="00F851AA">
        <w:rPr>
          <w:color w:val="000000" w:themeColor="text1"/>
          <w:lang w:val="en-ZA"/>
        </w:rPr>
        <w:t>and contributes</w:t>
      </w:r>
      <w:r w:rsidR="00F851AA" w:rsidRPr="00F851AA">
        <w:rPr>
          <w:color w:val="000000" w:themeColor="text1"/>
          <w:lang w:val="en-ZA"/>
        </w:rPr>
        <w:t xml:space="preserve"> to </w:t>
      </w:r>
      <w:r w:rsidR="00F851AA">
        <w:rPr>
          <w:color w:val="000000" w:themeColor="text1"/>
          <w:lang w:val="en-ZA"/>
        </w:rPr>
        <w:t>help achieve the</w:t>
      </w:r>
      <w:r w:rsidR="00F851AA" w:rsidRPr="00F851AA">
        <w:rPr>
          <w:color w:val="000000" w:themeColor="text1"/>
          <w:lang w:val="en-ZA"/>
        </w:rPr>
        <w:t xml:space="preserve"> overall objectives</w:t>
      </w:r>
      <w:r w:rsidR="00F851AA">
        <w:rPr>
          <w:lang w:val="en-ZA"/>
        </w:rPr>
        <w:t xml:space="preserve"> as </w:t>
      </w:r>
      <w:r>
        <w:rPr>
          <w:lang w:val="en-ZA"/>
        </w:rPr>
        <w:t xml:space="preserve">articulated in the </w:t>
      </w:r>
      <w:r w:rsidRPr="00C2548D">
        <w:rPr>
          <w:lang w:val="en-ZA"/>
        </w:rPr>
        <w:t xml:space="preserve">ICT </w:t>
      </w:r>
      <w:r>
        <w:rPr>
          <w:lang w:val="en-ZA"/>
        </w:rPr>
        <w:t xml:space="preserve">Professional Development Strategy </w:t>
      </w:r>
      <w:r w:rsidRPr="00C2548D">
        <w:rPr>
          <w:lang w:val="en-ZA"/>
        </w:rPr>
        <w:t>for Teachers</w:t>
      </w:r>
      <w:r>
        <w:rPr>
          <w:lang w:val="en-ZA"/>
        </w:rPr>
        <w:t>.</w:t>
      </w:r>
    </w:p>
    <w:p w:rsidR="00323B39" w:rsidRDefault="00323B39" w:rsidP="00F17A6F">
      <w:pPr>
        <w:rPr>
          <w:lang w:val="en-ZA"/>
        </w:rPr>
      </w:pPr>
    </w:p>
    <w:p w:rsidR="00233F03" w:rsidRDefault="00323B39" w:rsidP="00233F03">
      <w:pPr>
        <w:rPr>
          <w:lang w:val="en-ZA"/>
        </w:rPr>
      </w:pPr>
      <w:r w:rsidRPr="00323B39">
        <w:rPr>
          <w:lang w:val="en-ZA"/>
        </w:rPr>
        <w:t xml:space="preserve">The Communication and Advocacy Strategy for Teacher ICT Professional Development in Guyana </w:t>
      </w:r>
      <w:r w:rsidR="00F17A6F" w:rsidRPr="00323B39">
        <w:rPr>
          <w:lang w:val="en-ZA"/>
        </w:rPr>
        <w:t>is presented in</w:t>
      </w:r>
      <w:r w:rsidR="004E2836">
        <w:rPr>
          <w:lang w:val="en-ZA"/>
        </w:rPr>
        <w:t xml:space="preserve"> the following sequence. First</w:t>
      </w:r>
      <w:r w:rsidR="00BE4512" w:rsidRPr="00323B39">
        <w:rPr>
          <w:lang w:val="en-ZA"/>
        </w:rPr>
        <w:t xml:space="preserve">, it defines </w:t>
      </w:r>
      <w:r w:rsidR="00F17A6F" w:rsidRPr="00323B39">
        <w:rPr>
          <w:lang w:val="en-ZA"/>
        </w:rPr>
        <w:t xml:space="preserve">who should benefit from </w:t>
      </w:r>
      <w:r w:rsidR="00BE4512" w:rsidRPr="00323B39">
        <w:rPr>
          <w:lang w:val="en-ZA"/>
        </w:rPr>
        <w:t>the various</w:t>
      </w:r>
      <w:r w:rsidR="00F17A6F" w:rsidRPr="00323B39">
        <w:rPr>
          <w:lang w:val="en-ZA"/>
        </w:rPr>
        <w:t xml:space="preserve"> advocacy and </w:t>
      </w:r>
      <w:r w:rsidR="00BE4512" w:rsidRPr="00323B39">
        <w:rPr>
          <w:lang w:val="en-ZA"/>
        </w:rPr>
        <w:t>communication</w:t>
      </w:r>
      <w:r w:rsidR="003F0D47">
        <w:rPr>
          <w:lang w:val="en-ZA"/>
        </w:rPr>
        <w:t xml:space="preserve"> activities and provides an analysis of the stakeholders involved.</w:t>
      </w:r>
      <w:r w:rsidR="00F17A6F" w:rsidRPr="00323B39">
        <w:rPr>
          <w:lang w:val="en-ZA"/>
        </w:rPr>
        <w:t xml:space="preserve"> </w:t>
      </w:r>
      <w:r w:rsidR="004E2836">
        <w:rPr>
          <w:lang w:val="en-ZA"/>
        </w:rPr>
        <w:t>Second</w:t>
      </w:r>
      <w:r w:rsidR="00BE4512" w:rsidRPr="00323B39">
        <w:rPr>
          <w:lang w:val="en-ZA"/>
        </w:rPr>
        <w:t>,</w:t>
      </w:r>
      <w:r w:rsidR="00F17A6F" w:rsidRPr="00323B39">
        <w:rPr>
          <w:lang w:val="en-ZA"/>
        </w:rPr>
        <w:t xml:space="preserve"> it defines who the target audiences for the </w:t>
      </w:r>
      <w:r w:rsidR="004E2836" w:rsidRPr="00323B39">
        <w:rPr>
          <w:lang w:val="en-ZA"/>
        </w:rPr>
        <w:t>Communication and Advocacy Strategy</w:t>
      </w:r>
      <w:r w:rsidR="00F17A6F" w:rsidRPr="00323B39">
        <w:rPr>
          <w:lang w:val="en-ZA"/>
        </w:rPr>
        <w:t xml:space="preserve"> will be, in order to determine who needs to be engaged as part of the advocacy programme. </w:t>
      </w:r>
      <w:r w:rsidR="004E2836">
        <w:rPr>
          <w:lang w:val="en-ZA"/>
        </w:rPr>
        <w:t>Third</w:t>
      </w:r>
      <w:r w:rsidR="00BE4512" w:rsidRPr="00323B39">
        <w:rPr>
          <w:lang w:val="en-ZA"/>
        </w:rPr>
        <w:t xml:space="preserve">, it </w:t>
      </w:r>
      <w:r w:rsidR="00F17A6F" w:rsidRPr="00323B39">
        <w:rPr>
          <w:lang w:val="en-ZA"/>
        </w:rPr>
        <w:t xml:space="preserve">explores potential communication activities that can be implemented to drive the </w:t>
      </w:r>
      <w:r w:rsidR="00BE4512" w:rsidRPr="00323B39">
        <w:rPr>
          <w:lang w:val="en-ZA"/>
        </w:rPr>
        <w:t>Strategy</w:t>
      </w:r>
      <w:r w:rsidR="00F17A6F" w:rsidRPr="00323B39">
        <w:rPr>
          <w:lang w:val="en-ZA"/>
        </w:rPr>
        <w:t xml:space="preserve">. </w:t>
      </w:r>
      <w:r w:rsidR="00FF3150" w:rsidRPr="00323B39">
        <w:rPr>
          <w:lang w:val="en-ZA"/>
        </w:rPr>
        <w:t>Having established a broad s</w:t>
      </w:r>
      <w:r w:rsidR="00F17A6F" w:rsidRPr="00323B39">
        <w:rPr>
          <w:lang w:val="en-ZA"/>
        </w:rPr>
        <w:t xml:space="preserve">trategy, </w:t>
      </w:r>
      <w:r w:rsidR="00BE4512" w:rsidRPr="00323B39">
        <w:rPr>
          <w:lang w:val="en-ZA"/>
        </w:rPr>
        <w:t xml:space="preserve">it concludes with </w:t>
      </w:r>
      <w:r w:rsidR="00F17A6F" w:rsidRPr="00323B39">
        <w:rPr>
          <w:lang w:val="en-ZA"/>
        </w:rPr>
        <w:t xml:space="preserve">a </w:t>
      </w:r>
      <w:r w:rsidR="00BE4512" w:rsidRPr="00323B39">
        <w:rPr>
          <w:lang w:val="en-ZA"/>
        </w:rPr>
        <w:t>broad</w:t>
      </w:r>
      <w:r w:rsidR="00F17A6F" w:rsidRPr="00323B39">
        <w:rPr>
          <w:lang w:val="en-ZA"/>
        </w:rPr>
        <w:t xml:space="preserve"> </w:t>
      </w:r>
      <w:r w:rsidR="00357CED" w:rsidRPr="00323B39">
        <w:rPr>
          <w:lang w:val="en-ZA"/>
        </w:rPr>
        <w:t>work</w:t>
      </w:r>
      <w:r w:rsidR="00113216" w:rsidRPr="00323B39">
        <w:rPr>
          <w:lang w:val="en-ZA"/>
        </w:rPr>
        <w:t xml:space="preserve"> </w:t>
      </w:r>
      <w:r w:rsidR="00F17A6F" w:rsidRPr="00323B39">
        <w:rPr>
          <w:lang w:val="en-ZA"/>
        </w:rPr>
        <w:t xml:space="preserve">plan to advance the </w:t>
      </w:r>
      <w:r w:rsidR="00FF3150" w:rsidRPr="00323B39">
        <w:rPr>
          <w:lang w:val="en-ZA"/>
        </w:rPr>
        <w:t>activities</w:t>
      </w:r>
      <w:r w:rsidR="00F17A6F" w:rsidRPr="00323B39">
        <w:rPr>
          <w:lang w:val="en-ZA"/>
        </w:rPr>
        <w:t xml:space="preserve">. </w:t>
      </w:r>
      <w:bookmarkStart w:id="0" w:name="_Toc244266060"/>
    </w:p>
    <w:p w:rsidR="004E2836" w:rsidRPr="0037683F" w:rsidRDefault="004E2836" w:rsidP="00233F03">
      <w:pPr>
        <w:pStyle w:val="Heading2"/>
        <w:rPr>
          <w:lang w:val="en-ZA"/>
        </w:rPr>
      </w:pPr>
      <w:r w:rsidRPr="004E2836">
        <w:rPr>
          <w:sz w:val="28"/>
          <w:szCs w:val="28"/>
          <w:lang w:val="en-ZA"/>
        </w:rPr>
        <w:t xml:space="preserve">Beneficiaries of the </w:t>
      </w:r>
      <w:bookmarkEnd w:id="0"/>
      <w:r>
        <w:rPr>
          <w:sz w:val="28"/>
          <w:szCs w:val="28"/>
          <w:lang w:val="en-ZA"/>
        </w:rPr>
        <w:t xml:space="preserve">Guyana </w:t>
      </w:r>
      <w:r w:rsidRPr="004E2836">
        <w:rPr>
          <w:sz w:val="28"/>
          <w:szCs w:val="28"/>
          <w:lang w:val="en-ZA"/>
        </w:rPr>
        <w:t xml:space="preserve">Communication and Advocacy Strategy </w:t>
      </w:r>
    </w:p>
    <w:p w:rsidR="003F0D47" w:rsidRDefault="004E2836" w:rsidP="003F0D47">
      <w:pPr>
        <w:rPr>
          <w:lang w:val="en-ZA"/>
        </w:rPr>
      </w:pPr>
      <w:r w:rsidRPr="00AB28F0">
        <w:rPr>
          <w:lang w:val="en-ZA"/>
        </w:rPr>
        <w:t xml:space="preserve">It is clearly established from the </w:t>
      </w:r>
      <w:r w:rsidRPr="00C2548D">
        <w:rPr>
          <w:lang w:val="en-ZA"/>
        </w:rPr>
        <w:t xml:space="preserve">ICT </w:t>
      </w:r>
      <w:r>
        <w:rPr>
          <w:lang w:val="en-ZA"/>
        </w:rPr>
        <w:t xml:space="preserve">Professional Development Strategy </w:t>
      </w:r>
      <w:r w:rsidRPr="00C2548D">
        <w:rPr>
          <w:lang w:val="en-ZA"/>
        </w:rPr>
        <w:t>for Teachers in Guyana</w:t>
      </w:r>
      <w:r w:rsidRPr="00AB28F0">
        <w:rPr>
          <w:lang w:val="en-ZA"/>
        </w:rPr>
        <w:t xml:space="preserve"> that the ultimate beneficiaries of the </w:t>
      </w:r>
      <w:r>
        <w:rPr>
          <w:lang w:val="en-ZA"/>
        </w:rPr>
        <w:t xml:space="preserve">Guyana Communication and Advocacy </w:t>
      </w:r>
      <w:r w:rsidRPr="00AB28F0">
        <w:rPr>
          <w:lang w:val="en-ZA"/>
        </w:rPr>
        <w:t xml:space="preserve">Strategy will be </w:t>
      </w:r>
      <w:r>
        <w:rPr>
          <w:lang w:val="en-ZA"/>
        </w:rPr>
        <w:t xml:space="preserve">the </w:t>
      </w:r>
      <w:r w:rsidR="003F0D47" w:rsidRPr="00C2548D">
        <w:rPr>
          <w:lang w:val="en-ZA"/>
        </w:rPr>
        <w:t>Ministry of Education officials, school principals, administrators,</w:t>
      </w:r>
      <w:r w:rsidR="00B57ECA">
        <w:rPr>
          <w:lang w:val="en-ZA"/>
        </w:rPr>
        <w:t xml:space="preserve"> ICT maintenance and support personnel </w:t>
      </w:r>
      <w:r w:rsidR="003F0D47" w:rsidRPr="00C2548D">
        <w:rPr>
          <w:lang w:val="en-ZA"/>
        </w:rPr>
        <w:t>and teachers</w:t>
      </w:r>
      <w:r w:rsidR="003F0D47">
        <w:rPr>
          <w:lang w:val="en-ZA"/>
        </w:rPr>
        <w:t>.</w:t>
      </w:r>
    </w:p>
    <w:p w:rsidR="003F0D47" w:rsidRDefault="003F0D47" w:rsidP="00233F03">
      <w:pPr>
        <w:pStyle w:val="Heading3"/>
        <w:rPr>
          <w:lang w:val="en-ZA"/>
        </w:rPr>
      </w:pPr>
      <w:r w:rsidRPr="003F0D47">
        <w:rPr>
          <w:lang w:val="en-ZA"/>
        </w:rPr>
        <w:t>School Principals</w:t>
      </w:r>
    </w:p>
    <w:p w:rsidR="003F0D47" w:rsidRDefault="003F0D47" w:rsidP="003F0D47">
      <w:pPr>
        <w:rPr>
          <w:lang w:val="en-ZA"/>
        </w:rPr>
      </w:pPr>
      <w:r w:rsidRPr="00C2548D">
        <w:rPr>
          <w:lang w:val="en-ZA"/>
        </w:rPr>
        <w:t>The growing consensus is that, for instructional technologies to be implemented successfully, leadership and administrative support are critical. This means that it is important that school principals – who make policy and financial decisions – are trained in educational technology and have the resources they require to make informed decisions.</w:t>
      </w:r>
      <w:r w:rsidRPr="00C2548D">
        <w:rPr>
          <w:rStyle w:val="FootnoteReference"/>
          <w:szCs w:val="24"/>
          <w:lang w:val="en-ZA"/>
        </w:rPr>
        <w:footnoteReference w:id="2"/>
      </w:r>
      <w:r w:rsidRPr="00C2548D">
        <w:rPr>
          <w:lang w:val="en-ZA"/>
        </w:rPr>
        <w:t xml:space="preserve"> To ensure effective use of ICT at school, it is imperative that leadership in schools is supported in the role of ICT leadership for the school. The principal need not be the ICT champion, but he/she does need to be aware of debates surrounding use of ICT in education and of the important role that leaders play in ensuring successful use. Leaders need to be aware of the consequences of working with and maintaining ICT facilities, as well as the financial implications thereof. It is imperative that, after initial training, leaders become part of a broader community of practice, attending ICT conferences, receiving quarterly circulars, e-mail newsletters, participating in online discussion forums, and sharing expertise and experiences. </w:t>
      </w:r>
    </w:p>
    <w:p w:rsidR="00233F03" w:rsidRDefault="003F0D47" w:rsidP="00233F03">
      <w:pPr>
        <w:pStyle w:val="Heading3"/>
        <w:rPr>
          <w:lang w:val="en-ZA"/>
        </w:rPr>
      </w:pPr>
      <w:r w:rsidRPr="003F0D47">
        <w:rPr>
          <w:lang w:val="en-ZA"/>
        </w:rPr>
        <w:t>Teachers</w:t>
      </w:r>
    </w:p>
    <w:p w:rsidR="003F0D47" w:rsidRPr="003F0D47" w:rsidRDefault="003F0D47" w:rsidP="003F0D47">
      <w:pPr>
        <w:rPr>
          <w:lang w:val="en-ZA"/>
        </w:rPr>
      </w:pPr>
      <w:r w:rsidRPr="00C2548D">
        <w:rPr>
          <w:lang w:val="en-ZA"/>
        </w:rPr>
        <w:t xml:space="preserve">Teachers are at the heart of delivery of the curriculum. </w:t>
      </w:r>
      <w:r w:rsidRPr="00C2548D">
        <w:rPr>
          <w:rFonts w:eastAsia="SimSun"/>
          <w:lang w:val="en-ZA" w:eastAsia="en-GB"/>
        </w:rPr>
        <w:t xml:space="preserve">Teacher professional development in use of ICT is best introduced in a context of broader educational reform, which embraces a shift away from teacher-centred, lecture-based instruction toward student-centred, interactive, constructivist learning. Teacher professional development is essential if ICT in schools is to be used effectively. Thus, ongoing teacher training and professional development offerings are vital for successful use of ICT in education. Teachers play a pivotal role in the adaptation and integration of ICT in education as they are a key element in curriculum implementation and innovation. Studies show that insufficient understanding of the scope of an ICT resource leads to inappropriate or superficial uses in the </w:t>
      </w:r>
      <w:r w:rsidRPr="00C2548D">
        <w:rPr>
          <w:rFonts w:eastAsia="SimSun"/>
          <w:lang w:val="en-ZA" w:eastAsia="en-GB"/>
        </w:rPr>
        <w:lastRenderedPageBreak/>
        <w:t>curriculum.</w:t>
      </w:r>
      <w:r w:rsidRPr="00C2548D">
        <w:rPr>
          <w:rStyle w:val="FootnoteReference"/>
          <w:rFonts w:eastAsia="SimSun"/>
          <w:szCs w:val="24"/>
          <w:lang w:val="en-ZA" w:eastAsia="en-GB"/>
        </w:rPr>
        <w:footnoteReference w:id="3"/>
      </w:r>
      <w:r w:rsidRPr="00C2548D">
        <w:rPr>
          <w:rFonts w:eastAsia="SimSun"/>
          <w:lang w:val="en-ZA" w:eastAsia="en-GB"/>
        </w:rPr>
        <w:t xml:space="preserve"> However, designing and implementing successful teacher professional development programmes in the application of technology is neither easy nor inexpensive.</w:t>
      </w:r>
      <w:r w:rsidRPr="00C2548D">
        <w:rPr>
          <w:rStyle w:val="FootnoteReference"/>
          <w:rFonts w:eastAsia="SimSun"/>
          <w:szCs w:val="24"/>
          <w:lang w:val="en-ZA" w:eastAsia="en-GB"/>
        </w:rPr>
        <w:footnoteReference w:id="4"/>
      </w:r>
    </w:p>
    <w:p w:rsidR="003F0D47" w:rsidRPr="003F0D47" w:rsidRDefault="003F0D47" w:rsidP="00233F03">
      <w:pPr>
        <w:pStyle w:val="Heading3"/>
        <w:rPr>
          <w:rFonts w:eastAsia="SimSun"/>
          <w:lang w:val="en-ZA" w:eastAsia="en-GB"/>
        </w:rPr>
      </w:pPr>
      <w:r w:rsidRPr="003F0D47">
        <w:rPr>
          <w:lang w:val="en-ZA"/>
        </w:rPr>
        <w:t xml:space="preserve">Ministry of Education Personnel (National and </w:t>
      </w:r>
      <w:r w:rsidR="00233F03">
        <w:rPr>
          <w:lang w:val="en-ZA"/>
        </w:rPr>
        <w:t>R</w:t>
      </w:r>
      <w:r w:rsidRPr="003F0D47">
        <w:rPr>
          <w:lang w:val="en-ZA"/>
        </w:rPr>
        <w:t>egional)</w:t>
      </w:r>
    </w:p>
    <w:p w:rsidR="003F0D47" w:rsidRDefault="003F0D47" w:rsidP="003F0D47">
      <w:pPr>
        <w:rPr>
          <w:lang w:val="en-ZA"/>
        </w:rPr>
      </w:pPr>
      <w:r w:rsidRPr="00C2548D">
        <w:rPr>
          <w:lang w:val="en-ZA"/>
        </w:rPr>
        <w:t>The leadership role of Ministry of Education personnel at the national and regional levels in changing their own practice and supporting schools in their uptake of ICT is pivotal to the success of Guyanese plans to roll out ICT in education.</w:t>
      </w:r>
    </w:p>
    <w:p w:rsidR="003F0D47" w:rsidRPr="00C2548D" w:rsidRDefault="003F0D47" w:rsidP="00233F03">
      <w:pPr>
        <w:pStyle w:val="Heading3"/>
        <w:rPr>
          <w:lang w:val="en-ZA"/>
        </w:rPr>
      </w:pPr>
      <w:r w:rsidRPr="00C2548D">
        <w:rPr>
          <w:lang w:val="en-ZA"/>
        </w:rPr>
        <w:t>ICT Coordinators</w:t>
      </w:r>
    </w:p>
    <w:p w:rsidR="003F0D47" w:rsidRPr="00C2548D" w:rsidRDefault="003F0D47" w:rsidP="003F0D47">
      <w:pPr>
        <w:rPr>
          <w:lang w:val="en-ZA"/>
        </w:rPr>
      </w:pPr>
      <w:r w:rsidRPr="00C2548D">
        <w:rPr>
          <w:lang w:val="en-ZA"/>
        </w:rPr>
        <w:t xml:space="preserve">The term ‘ICT coordinator’ refers to the individual staff member </w:t>
      </w:r>
      <w:r w:rsidR="00B57ECA">
        <w:rPr>
          <w:lang w:val="en-ZA"/>
        </w:rPr>
        <w:t xml:space="preserve">who is responsible for driving the use of ICT at a school. </w:t>
      </w:r>
      <w:r w:rsidRPr="00C2548D">
        <w:rPr>
          <w:lang w:val="en-ZA"/>
        </w:rPr>
        <w:t xml:space="preserve">One of the ICT coordinator’s roles will be to act as the school point of contact on all ICT-related matters. Another is to promote creative use of computers in the development of educationally meaningful projects. There are also administrative requirements, where the ICT coordinator needs to work closely </w:t>
      </w:r>
      <w:r>
        <w:rPr>
          <w:lang w:val="en-ZA"/>
        </w:rPr>
        <w:t>with school leaders.</w:t>
      </w:r>
    </w:p>
    <w:p w:rsidR="003F0D47" w:rsidRPr="00C2548D" w:rsidRDefault="003F0D47" w:rsidP="003F0D47">
      <w:pPr>
        <w:rPr>
          <w:lang w:val="en-ZA"/>
        </w:rPr>
      </w:pPr>
    </w:p>
    <w:p w:rsidR="003F0D47" w:rsidRPr="00C2548D" w:rsidRDefault="003F0D47" w:rsidP="003F0D47">
      <w:pPr>
        <w:rPr>
          <w:lang w:val="en-ZA"/>
        </w:rPr>
      </w:pPr>
      <w:r w:rsidRPr="00C2548D">
        <w:rPr>
          <w:lang w:val="en-ZA"/>
        </w:rPr>
        <w:t xml:space="preserve">As such, the ICT </w:t>
      </w:r>
      <w:r>
        <w:rPr>
          <w:lang w:val="en-ZA"/>
        </w:rPr>
        <w:t>C</w:t>
      </w:r>
      <w:r w:rsidRPr="00C2548D">
        <w:rPr>
          <w:lang w:val="en-ZA"/>
        </w:rPr>
        <w:t xml:space="preserve">oordinator has specific professional development requirements. These may overlap with the needs of school principals and with the professional development requirements of teaching staff, but there is a sufficiently common core of requirements that warrant defining ICT coordinators as a unique group. </w:t>
      </w:r>
    </w:p>
    <w:p w:rsidR="003F0D47" w:rsidRPr="00C2548D" w:rsidRDefault="003F0D47" w:rsidP="00233F03">
      <w:pPr>
        <w:pStyle w:val="Heading3"/>
        <w:rPr>
          <w:lang w:val="en-ZA"/>
        </w:rPr>
      </w:pPr>
      <w:r w:rsidRPr="00C2548D">
        <w:rPr>
          <w:lang w:val="en-ZA"/>
        </w:rPr>
        <w:t>ICT Maintenance and Support Personnel</w:t>
      </w:r>
    </w:p>
    <w:p w:rsidR="00B57ECA" w:rsidRDefault="003F0D47" w:rsidP="003F0D47">
      <w:pPr>
        <w:tabs>
          <w:tab w:val="num" w:pos="426"/>
        </w:tabs>
        <w:rPr>
          <w:lang w:val="en-ZA"/>
        </w:rPr>
      </w:pPr>
      <w:r w:rsidRPr="00C2548D">
        <w:rPr>
          <w:lang w:val="en-ZA"/>
        </w:rPr>
        <w:t xml:space="preserve">ICT administrators need to work closely with school management to ensure that the best possible use is made of ICT resources and facilities. </w:t>
      </w:r>
      <w:r w:rsidR="00B57ECA" w:rsidRPr="00C2548D">
        <w:rPr>
          <w:lang w:val="en-ZA"/>
        </w:rPr>
        <w:t>Their</w:t>
      </w:r>
      <w:r w:rsidR="00B57ECA">
        <w:rPr>
          <w:lang w:val="en-ZA"/>
        </w:rPr>
        <w:t xml:space="preserve"> technical roles would include tasks such as i</w:t>
      </w:r>
      <w:r w:rsidR="00B57ECA" w:rsidRPr="00C2548D">
        <w:rPr>
          <w:lang w:val="en-ZA"/>
        </w:rPr>
        <w:t>ssuing all users with their own log-in codes and private areas in which to store</w:t>
      </w:r>
      <w:r w:rsidR="00B57ECA">
        <w:rPr>
          <w:lang w:val="en-ZA"/>
        </w:rPr>
        <w:t xml:space="preserve"> their data, setting up e-mail services and p</w:t>
      </w:r>
      <w:r w:rsidR="00B57ECA" w:rsidRPr="00C2548D">
        <w:rPr>
          <w:lang w:val="en-ZA"/>
        </w:rPr>
        <w:t>reventing</w:t>
      </w:r>
      <w:r w:rsidR="00B57ECA">
        <w:rPr>
          <w:lang w:val="en-ZA"/>
        </w:rPr>
        <w:t xml:space="preserve"> bandwidth abuse where necessary. </w:t>
      </w:r>
      <w:r w:rsidR="00B57ECA" w:rsidRPr="00B57ECA">
        <w:rPr>
          <w:lang w:val="en-ZA"/>
        </w:rPr>
        <w:t>In particular, they will need to ensure that learners’ safety is</w:t>
      </w:r>
      <w:r w:rsidR="00B57ECA">
        <w:rPr>
          <w:lang w:val="en-ZA"/>
        </w:rPr>
        <w:t xml:space="preserve"> protected. This will involve p</w:t>
      </w:r>
      <w:r w:rsidR="00B57ECA" w:rsidRPr="00C2548D">
        <w:rPr>
          <w:lang w:val="en-ZA"/>
        </w:rPr>
        <w:t xml:space="preserve">rotecting </w:t>
      </w:r>
      <w:r w:rsidR="00B57ECA">
        <w:rPr>
          <w:lang w:val="en-ZA"/>
        </w:rPr>
        <w:t>personal data, blocking dangerous/harmful sites and p</w:t>
      </w:r>
      <w:r w:rsidR="00B57ECA" w:rsidRPr="00B57ECA">
        <w:rPr>
          <w:lang w:val="en-ZA"/>
        </w:rPr>
        <w:t>ol</w:t>
      </w:r>
      <w:r w:rsidR="00B57ECA">
        <w:rPr>
          <w:lang w:val="en-ZA"/>
        </w:rPr>
        <w:t>icing, monitoring, and logging internet usage.</w:t>
      </w:r>
    </w:p>
    <w:p w:rsidR="002E61E0" w:rsidRPr="003F0D47" w:rsidRDefault="004E2836" w:rsidP="00233F03">
      <w:pPr>
        <w:pStyle w:val="Heading2"/>
        <w:rPr>
          <w:lang w:val="en-ZA"/>
        </w:rPr>
      </w:pPr>
      <w:r w:rsidRPr="003F0D47">
        <w:rPr>
          <w:lang w:val="en-ZA"/>
        </w:rPr>
        <w:t>Stakeholder Analysis</w:t>
      </w:r>
    </w:p>
    <w:p w:rsidR="00BE3DEE" w:rsidRDefault="00BE3DEE" w:rsidP="00BE3DEE">
      <w:pPr>
        <w:rPr>
          <w:lang w:val="en-ZA"/>
        </w:rPr>
      </w:pPr>
      <w:r w:rsidRPr="00AB28F0">
        <w:rPr>
          <w:lang w:val="en-ZA"/>
        </w:rPr>
        <w:t xml:space="preserve">Below is a grid outlining the various </w:t>
      </w:r>
      <w:r>
        <w:rPr>
          <w:lang w:val="en-ZA"/>
        </w:rPr>
        <w:t>stakeholders</w:t>
      </w:r>
      <w:r w:rsidRPr="00AB28F0">
        <w:rPr>
          <w:lang w:val="en-ZA"/>
        </w:rPr>
        <w:t>, together with a brief analysis of the roles that each should be expected to play in supporting implementation of the</w:t>
      </w:r>
      <w:r>
        <w:rPr>
          <w:lang w:val="en-ZA"/>
        </w:rPr>
        <w:t xml:space="preserve"> Guyana Advocacy and Communication Strategy for ICT in Education.</w:t>
      </w:r>
    </w:p>
    <w:p w:rsidR="004E2836" w:rsidRDefault="004E2836" w:rsidP="00BE3DEE">
      <w:pPr>
        <w:rPr>
          <w:lang w:val="en-ZA"/>
        </w:rPr>
      </w:pPr>
    </w:p>
    <w:p w:rsidR="004E2836" w:rsidRDefault="004E2836" w:rsidP="004E2836">
      <w:pPr>
        <w:rPr>
          <w:lang w:val="en-ZA"/>
        </w:rPr>
      </w:pPr>
      <w:r w:rsidRPr="00C2548D">
        <w:rPr>
          <w:lang w:val="en-ZA"/>
        </w:rPr>
        <w:t xml:space="preserve">These are additional to the various school personnel, who are the primary beneficiaries of this </w:t>
      </w:r>
      <w:r>
        <w:rPr>
          <w:lang w:val="en-ZA"/>
        </w:rPr>
        <w:t>Strategy</w:t>
      </w:r>
      <w:r w:rsidRPr="00C2548D">
        <w:rPr>
          <w:lang w:val="en-ZA"/>
        </w:rPr>
        <w:t xml:space="preserve"> and whose specifics needs have already been outlined </w:t>
      </w:r>
      <w:r w:rsidR="00A64771">
        <w:rPr>
          <w:lang w:val="en-ZA"/>
        </w:rPr>
        <w:t>above.</w:t>
      </w:r>
    </w:p>
    <w:p w:rsidR="00A64771" w:rsidRDefault="00A64771" w:rsidP="00A64771">
      <w:pPr>
        <w:rPr>
          <w:lang w:val="en-ZA"/>
        </w:rPr>
      </w:pPr>
    </w:p>
    <w:p w:rsidR="004E2836" w:rsidRPr="00A64771" w:rsidRDefault="00A64771" w:rsidP="004E2836">
      <w:pPr>
        <w:pStyle w:val="TableReference"/>
        <w:rPr>
          <w:lang w:val="en-ZA"/>
        </w:rPr>
      </w:pPr>
      <w:r>
        <w:rPr>
          <w:lang w:val="en-ZA"/>
        </w:rPr>
        <w:lastRenderedPageBreak/>
        <w:t>Stakeholders</w:t>
      </w:r>
    </w:p>
    <w:tbl>
      <w:tblPr>
        <w:tblW w:w="0" w:type="auto"/>
        <w:jc w:val="center"/>
        <w:tblCellMar>
          <w:left w:w="30" w:type="dxa"/>
          <w:right w:w="30" w:type="dxa"/>
        </w:tblCellMar>
        <w:tblLook w:val="0000" w:firstRow="0" w:lastRow="0" w:firstColumn="0" w:lastColumn="0" w:noHBand="0" w:noVBand="0"/>
      </w:tblPr>
      <w:tblGrid>
        <w:gridCol w:w="2012"/>
        <w:gridCol w:w="5912"/>
        <w:gridCol w:w="1162"/>
      </w:tblGrid>
      <w:tr w:rsidR="004E2836" w:rsidRPr="00C2548D" w:rsidTr="00454B76">
        <w:trPr>
          <w:tblHeader/>
          <w:jc w:val="center"/>
        </w:trPr>
        <w:tc>
          <w:tcPr>
            <w:tcW w:w="2012" w:type="dxa"/>
            <w:tcBorders>
              <w:top w:val="single" w:sz="12" w:space="0" w:color="auto"/>
              <w:left w:val="single" w:sz="12" w:space="0" w:color="auto"/>
              <w:bottom w:val="single" w:sz="12" w:space="0" w:color="auto"/>
              <w:right w:val="single" w:sz="6" w:space="0" w:color="auto"/>
            </w:tcBorders>
            <w:shd w:val="clear" w:color="auto" w:fill="auto"/>
            <w:vAlign w:val="center"/>
          </w:tcPr>
          <w:p w:rsidR="004E2836" w:rsidRPr="00C2548D" w:rsidRDefault="004E2836" w:rsidP="00F05FB7">
            <w:pPr>
              <w:keepNext/>
              <w:jc w:val="center"/>
              <w:rPr>
                <w:b/>
                <w:lang w:val="en-ZA"/>
              </w:rPr>
            </w:pPr>
            <w:r w:rsidRPr="00C2548D">
              <w:rPr>
                <w:b/>
                <w:lang w:val="en-ZA"/>
              </w:rPr>
              <w:t>Key Stakeholders</w:t>
            </w:r>
          </w:p>
        </w:tc>
        <w:tc>
          <w:tcPr>
            <w:tcW w:w="5912" w:type="dxa"/>
            <w:tcBorders>
              <w:top w:val="single" w:sz="12" w:space="0" w:color="auto"/>
              <w:left w:val="single" w:sz="6" w:space="0" w:color="auto"/>
              <w:bottom w:val="single" w:sz="12" w:space="0" w:color="auto"/>
              <w:right w:val="single" w:sz="6" w:space="0" w:color="auto"/>
            </w:tcBorders>
            <w:shd w:val="clear" w:color="auto" w:fill="auto"/>
            <w:vAlign w:val="center"/>
          </w:tcPr>
          <w:p w:rsidR="004E2836" w:rsidRPr="00C2548D" w:rsidRDefault="004E2836" w:rsidP="00F05FB7">
            <w:pPr>
              <w:keepNext/>
              <w:jc w:val="center"/>
              <w:rPr>
                <w:b/>
                <w:lang w:val="en-ZA"/>
              </w:rPr>
            </w:pPr>
            <w:r w:rsidRPr="00C2548D">
              <w:rPr>
                <w:b/>
                <w:lang w:val="en-ZA"/>
              </w:rPr>
              <w:t>Relationship to / role on the project</w:t>
            </w:r>
          </w:p>
        </w:tc>
        <w:tc>
          <w:tcPr>
            <w:tcW w:w="1162" w:type="dxa"/>
            <w:tcBorders>
              <w:top w:val="single" w:sz="12" w:space="0" w:color="auto"/>
              <w:left w:val="single" w:sz="6" w:space="0" w:color="auto"/>
              <w:bottom w:val="single" w:sz="12" w:space="0" w:color="auto"/>
              <w:right w:val="single" w:sz="12" w:space="0" w:color="auto"/>
            </w:tcBorders>
            <w:shd w:val="clear" w:color="auto" w:fill="auto"/>
            <w:vAlign w:val="center"/>
          </w:tcPr>
          <w:p w:rsidR="004E2836" w:rsidRPr="00C2548D" w:rsidRDefault="004E2836" w:rsidP="00F05FB7">
            <w:pPr>
              <w:keepNext/>
              <w:jc w:val="center"/>
              <w:rPr>
                <w:b/>
                <w:lang w:val="en-ZA"/>
              </w:rPr>
            </w:pPr>
            <w:r w:rsidRPr="00C2548D">
              <w:rPr>
                <w:b/>
                <w:lang w:val="en-ZA"/>
              </w:rPr>
              <w:t>Degree of Influence</w:t>
            </w:r>
          </w:p>
        </w:tc>
      </w:tr>
      <w:tr w:rsidR="004E2836" w:rsidRPr="00C2548D" w:rsidTr="00454B76">
        <w:trPr>
          <w:jc w:val="center"/>
        </w:trPr>
        <w:tc>
          <w:tcPr>
            <w:tcW w:w="2012" w:type="dxa"/>
            <w:tcBorders>
              <w:top w:val="single" w:sz="12" w:space="0" w:color="auto"/>
              <w:left w:val="single" w:sz="12" w:space="0" w:color="auto"/>
              <w:bottom w:val="single" w:sz="4" w:space="0" w:color="auto"/>
              <w:right w:val="single" w:sz="4" w:space="0" w:color="auto"/>
            </w:tcBorders>
            <w:shd w:val="solid" w:color="FFFFFF" w:fill="auto"/>
          </w:tcPr>
          <w:p w:rsidR="004E2836" w:rsidRPr="00252955" w:rsidRDefault="004E2836" w:rsidP="00F05FB7">
            <w:pPr>
              <w:jc w:val="left"/>
              <w:rPr>
                <w:lang w:val="en-ZA"/>
              </w:rPr>
            </w:pPr>
            <w:r w:rsidRPr="00252955">
              <w:rPr>
                <w:lang w:val="en-ZA"/>
              </w:rPr>
              <w:t>Ministry of Education</w:t>
            </w:r>
          </w:p>
        </w:tc>
        <w:tc>
          <w:tcPr>
            <w:tcW w:w="5912" w:type="dxa"/>
            <w:tcBorders>
              <w:top w:val="single" w:sz="12" w:space="0" w:color="auto"/>
              <w:left w:val="single" w:sz="4" w:space="0" w:color="auto"/>
              <w:bottom w:val="single" w:sz="4" w:space="0" w:color="auto"/>
              <w:right w:val="single" w:sz="6" w:space="0" w:color="auto"/>
            </w:tcBorders>
            <w:shd w:val="solid" w:color="FFFFFF" w:fill="auto"/>
          </w:tcPr>
          <w:p w:rsidR="004E2836" w:rsidRPr="00252955" w:rsidRDefault="004E2836" w:rsidP="00233F03">
            <w:pPr>
              <w:pStyle w:val="ListParagraph"/>
              <w:numPr>
                <w:ilvl w:val="0"/>
                <w:numId w:val="20"/>
              </w:numPr>
              <w:jc w:val="left"/>
              <w:rPr>
                <w:lang w:val="en-ZA"/>
              </w:rPr>
            </w:pPr>
            <w:r w:rsidRPr="00252955">
              <w:rPr>
                <w:lang w:val="en-ZA"/>
              </w:rPr>
              <w:t xml:space="preserve">Has expressed strong support for </w:t>
            </w:r>
            <w:r w:rsidR="00A64771" w:rsidRPr="00252955">
              <w:rPr>
                <w:lang w:val="en-ZA"/>
              </w:rPr>
              <w:t>and is l</w:t>
            </w:r>
            <w:r w:rsidRPr="00252955">
              <w:rPr>
                <w:lang w:val="en-ZA"/>
              </w:rPr>
              <w:t>eading current process to launch the ICT Professional Development Strategy for Teachers in Guyana</w:t>
            </w:r>
            <w:r w:rsidRPr="00252955">
              <w:rPr>
                <w:sz w:val="20"/>
                <w:lang w:val="en-ZA"/>
              </w:rPr>
              <w:t xml:space="preserve"> </w:t>
            </w:r>
            <w:r w:rsidRPr="00252955">
              <w:rPr>
                <w:lang w:val="en-ZA"/>
              </w:rPr>
              <w:t>in partnership with the Commonwealth Secretariat</w:t>
            </w:r>
            <w:r w:rsidR="00A64771" w:rsidRPr="00252955">
              <w:rPr>
                <w:lang w:val="en-ZA"/>
              </w:rPr>
              <w:t>.</w:t>
            </w:r>
          </w:p>
          <w:p w:rsidR="004E2836" w:rsidRPr="00252955" w:rsidRDefault="004E2836" w:rsidP="00233F03">
            <w:pPr>
              <w:pStyle w:val="ListParagraph"/>
              <w:numPr>
                <w:ilvl w:val="0"/>
                <w:numId w:val="20"/>
              </w:numPr>
              <w:jc w:val="left"/>
              <w:rPr>
                <w:lang w:val="en-ZA"/>
              </w:rPr>
            </w:pPr>
            <w:r w:rsidRPr="00252955">
              <w:rPr>
                <w:lang w:val="en-ZA"/>
              </w:rPr>
              <w:t>Key funder of education activities of all kinds</w:t>
            </w:r>
            <w:r w:rsidR="00A64771" w:rsidRPr="00252955">
              <w:rPr>
                <w:lang w:val="en-ZA"/>
              </w:rPr>
              <w:t>.</w:t>
            </w:r>
          </w:p>
          <w:p w:rsidR="00454B76" w:rsidRPr="00233F03" w:rsidRDefault="004E2836" w:rsidP="00233F03">
            <w:pPr>
              <w:pStyle w:val="ListParagraph"/>
              <w:numPr>
                <w:ilvl w:val="0"/>
                <w:numId w:val="20"/>
              </w:numPr>
              <w:jc w:val="left"/>
              <w:rPr>
                <w:lang w:val="en-ZA"/>
              </w:rPr>
            </w:pPr>
            <w:r w:rsidRPr="00252955">
              <w:rPr>
                <w:lang w:val="en-ZA"/>
              </w:rPr>
              <w:t>Without Ministry commitment, the ICT Professional Development Strategy for Teachers in Guyana</w:t>
            </w:r>
            <w:r w:rsidRPr="00252955">
              <w:rPr>
                <w:sz w:val="20"/>
                <w:lang w:val="en-ZA"/>
              </w:rPr>
              <w:t xml:space="preserve"> </w:t>
            </w:r>
            <w:r w:rsidRPr="00252955">
              <w:rPr>
                <w:lang w:val="en-ZA"/>
              </w:rPr>
              <w:t>will not be possible</w:t>
            </w:r>
            <w:r w:rsidR="00A64771" w:rsidRPr="00252955">
              <w:rPr>
                <w:lang w:val="en-ZA"/>
              </w:rPr>
              <w:t xml:space="preserve"> and hence, neither will any supporting Communication and Advocacy activities.</w:t>
            </w:r>
          </w:p>
        </w:tc>
        <w:tc>
          <w:tcPr>
            <w:tcW w:w="1162" w:type="dxa"/>
            <w:tcBorders>
              <w:top w:val="single" w:sz="12" w:space="0" w:color="auto"/>
              <w:left w:val="single" w:sz="6" w:space="0" w:color="auto"/>
              <w:bottom w:val="single" w:sz="4" w:space="0" w:color="auto"/>
              <w:right w:val="single" w:sz="12" w:space="0" w:color="auto"/>
            </w:tcBorders>
            <w:shd w:val="solid" w:color="FFFFFF" w:fill="auto"/>
            <w:vAlign w:val="center"/>
          </w:tcPr>
          <w:p w:rsidR="004E2836" w:rsidRPr="00252955" w:rsidRDefault="004E2836" w:rsidP="00233F03">
            <w:pPr>
              <w:jc w:val="center"/>
              <w:rPr>
                <w:lang w:val="en-ZA"/>
              </w:rPr>
            </w:pPr>
            <w:r w:rsidRPr="00252955">
              <w:rPr>
                <w:lang w:val="en-ZA"/>
              </w:rPr>
              <w:t>High</w:t>
            </w:r>
          </w:p>
        </w:tc>
      </w:tr>
      <w:tr w:rsidR="004E2836"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4E2836" w:rsidRPr="00C2548D" w:rsidRDefault="004E2836" w:rsidP="00F05FB7">
            <w:pPr>
              <w:jc w:val="left"/>
              <w:rPr>
                <w:lang w:val="en-ZA"/>
              </w:rPr>
            </w:pPr>
            <w:r w:rsidRPr="00C2548D">
              <w:rPr>
                <w:lang w:val="en-ZA"/>
              </w:rPr>
              <w:t>CPCE and UG</w:t>
            </w:r>
          </w:p>
        </w:tc>
        <w:tc>
          <w:tcPr>
            <w:tcW w:w="5912" w:type="dxa"/>
            <w:tcBorders>
              <w:top w:val="single" w:sz="4" w:space="0" w:color="auto"/>
              <w:left w:val="single" w:sz="4" w:space="0" w:color="auto"/>
              <w:bottom w:val="single" w:sz="6" w:space="0" w:color="auto"/>
              <w:right w:val="single" w:sz="6" w:space="0" w:color="auto"/>
            </w:tcBorders>
            <w:shd w:val="solid" w:color="FFFFFF" w:fill="auto"/>
          </w:tcPr>
          <w:p w:rsidR="004E2836" w:rsidRPr="00AD6340" w:rsidRDefault="004E2836" w:rsidP="00233F03">
            <w:pPr>
              <w:pStyle w:val="ListParagraph"/>
              <w:numPr>
                <w:ilvl w:val="0"/>
                <w:numId w:val="20"/>
              </w:numPr>
              <w:jc w:val="left"/>
              <w:rPr>
                <w:lang w:val="en-ZA"/>
              </w:rPr>
            </w:pPr>
            <w:r w:rsidRPr="00AD6340">
              <w:rPr>
                <w:lang w:val="en-ZA"/>
              </w:rPr>
              <w:t xml:space="preserve">Key providers of </w:t>
            </w:r>
            <w:r w:rsidR="00F82FA6">
              <w:rPr>
                <w:lang w:val="en-ZA"/>
              </w:rPr>
              <w:t>Pre-service teacher education</w:t>
            </w:r>
            <w:r w:rsidRPr="00AD6340">
              <w:rPr>
                <w:lang w:val="en-ZA"/>
              </w:rPr>
              <w:t xml:space="preserve"> in Guyana</w:t>
            </w:r>
            <w:r w:rsidR="00A64771" w:rsidRPr="00AD6340">
              <w:rPr>
                <w:lang w:val="en-ZA"/>
              </w:rPr>
              <w:t>.</w:t>
            </w:r>
          </w:p>
          <w:p w:rsidR="004E2836" w:rsidRPr="00AD6340" w:rsidRDefault="004E2836" w:rsidP="00233F03">
            <w:pPr>
              <w:pStyle w:val="ListParagraph"/>
              <w:numPr>
                <w:ilvl w:val="0"/>
                <w:numId w:val="20"/>
              </w:numPr>
              <w:jc w:val="left"/>
              <w:rPr>
                <w:lang w:val="en-ZA"/>
              </w:rPr>
            </w:pPr>
            <w:r w:rsidRPr="00AD6340">
              <w:rPr>
                <w:lang w:val="en-ZA"/>
              </w:rPr>
              <w:t>Will take responsibility for delivering requirements of Guyana ICT Professional Development</w:t>
            </w:r>
            <w:r w:rsidRPr="00AD6340">
              <w:rPr>
                <w:sz w:val="20"/>
                <w:lang w:val="en-ZA"/>
              </w:rPr>
              <w:t xml:space="preserve"> </w:t>
            </w:r>
            <w:r w:rsidRPr="00AD6340">
              <w:rPr>
                <w:lang w:val="en-ZA"/>
              </w:rPr>
              <w:t>Framework for Teachers within their teacher education programmes</w:t>
            </w:r>
            <w:r w:rsidR="00A64771" w:rsidRPr="00AD6340">
              <w:rPr>
                <w:lang w:val="en-ZA"/>
              </w:rPr>
              <w:t>.</w:t>
            </w:r>
          </w:p>
          <w:p w:rsidR="004E2836" w:rsidRPr="00AD6340" w:rsidRDefault="008B6027" w:rsidP="00233F03">
            <w:pPr>
              <w:pStyle w:val="ListParagraph"/>
              <w:numPr>
                <w:ilvl w:val="0"/>
                <w:numId w:val="20"/>
              </w:numPr>
              <w:jc w:val="left"/>
              <w:rPr>
                <w:lang w:val="en-ZA"/>
              </w:rPr>
            </w:pPr>
            <w:r>
              <w:rPr>
                <w:lang w:val="en-ZA"/>
              </w:rPr>
              <w:t>R</w:t>
            </w:r>
            <w:r w:rsidR="004E2836" w:rsidRPr="00AD6340">
              <w:rPr>
                <w:lang w:val="en-ZA"/>
              </w:rPr>
              <w:t xml:space="preserve">ole models </w:t>
            </w:r>
            <w:r>
              <w:rPr>
                <w:lang w:val="en-ZA"/>
              </w:rPr>
              <w:t>for teachers in ICT Integration.</w:t>
            </w:r>
            <w:r w:rsidR="004E2836" w:rsidRPr="00AD6340">
              <w:rPr>
                <w:lang w:val="en-ZA"/>
              </w:rPr>
              <w:t xml:space="preserve"> </w:t>
            </w:r>
          </w:p>
        </w:tc>
        <w:tc>
          <w:tcPr>
            <w:tcW w:w="1162" w:type="dxa"/>
            <w:tcBorders>
              <w:top w:val="single" w:sz="4" w:space="0" w:color="auto"/>
              <w:left w:val="single" w:sz="6" w:space="0" w:color="auto"/>
              <w:bottom w:val="single" w:sz="6" w:space="0" w:color="auto"/>
              <w:right w:val="single" w:sz="12" w:space="0" w:color="auto"/>
            </w:tcBorders>
            <w:shd w:val="solid" w:color="FFFFFF" w:fill="auto"/>
            <w:vAlign w:val="center"/>
          </w:tcPr>
          <w:p w:rsidR="004E2836" w:rsidRPr="00C2548D" w:rsidRDefault="004E2836" w:rsidP="00233F03">
            <w:pPr>
              <w:jc w:val="center"/>
              <w:rPr>
                <w:lang w:val="en-ZA"/>
              </w:rPr>
            </w:pPr>
            <w:r w:rsidRPr="00C2548D">
              <w:rPr>
                <w:lang w:val="en-ZA"/>
              </w:rPr>
              <w:t>High</w:t>
            </w:r>
          </w:p>
        </w:tc>
      </w:tr>
      <w:tr w:rsidR="004E2836"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4E2836" w:rsidRPr="00C2548D" w:rsidRDefault="004E2836" w:rsidP="00F05FB7">
            <w:pPr>
              <w:jc w:val="left"/>
              <w:rPr>
                <w:lang w:val="en-ZA"/>
              </w:rPr>
            </w:pPr>
            <w:r w:rsidRPr="00C2548D">
              <w:rPr>
                <w:lang w:val="en-ZA"/>
              </w:rPr>
              <w:t>NCERD</w:t>
            </w:r>
          </w:p>
        </w:tc>
        <w:tc>
          <w:tcPr>
            <w:tcW w:w="5912" w:type="dxa"/>
            <w:tcBorders>
              <w:top w:val="single" w:sz="6" w:space="0" w:color="auto"/>
              <w:left w:val="single" w:sz="4" w:space="0" w:color="auto"/>
              <w:bottom w:val="single" w:sz="6" w:space="0" w:color="auto"/>
              <w:right w:val="single" w:sz="6" w:space="0" w:color="auto"/>
            </w:tcBorders>
            <w:shd w:val="solid" w:color="FFFFFF" w:fill="auto"/>
          </w:tcPr>
          <w:p w:rsidR="004E2836" w:rsidRPr="00AD6340" w:rsidRDefault="004E2836" w:rsidP="00233F03">
            <w:pPr>
              <w:pStyle w:val="ListParagraph"/>
              <w:numPr>
                <w:ilvl w:val="0"/>
                <w:numId w:val="20"/>
              </w:numPr>
              <w:jc w:val="left"/>
              <w:rPr>
                <w:lang w:val="en-ZA"/>
              </w:rPr>
            </w:pPr>
            <w:r w:rsidRPr="00AD6340">
              <w:rPr>
                <w:lang w:val="en-ZA"/>
              </w:rPr>
              <w:t>Key provider of CPD for teachers and other key personnel in Guyana</w:t>
            </w:r>
            <w:r w:rsidR="004434F7" w:rsidRPr="00AD6340">
              <w:rPr>
                <w:lang w:val="en-ZA"/>
              </w:rPr>
              <w:t>.</w:t>
            </w:r>
          </w:p>
          <w:p w:rsidR="004E2836" w:rsidRPr="00AD6340" w:rsidRDefault="004E2836" w:rsidP="00233F03">
            <w:pPr>
              <w:pStyle w:val="ListParagraph"/>
              <w:numPr>
                <w:ilvl w:val="0"/>
                <w:numId w:val="20"/>
              </w:numPr>
              <w:jc w:val="left"/>
              <w:rPr>
                <w:lang w:val="en-ZA"/>
              </w:rPr>
            </w:pPr>
            <w:r w:rsidRPr="00AD6340">
              <w:rPr>
                <w:lang w:val="en-ZA"/>
              </w:rPr>
              <w:t>Will take responsibility for delivering requirements of Guyana ICT Professional Development</w:t>
            </w:r>
            <w:r w:rsidRPr="00AD6340">
              <w:rPr>
                <w:sz w:val="20"/>
                <w:lang w:val="en-ZA"/>
              </w:rPr>
              <w:t xml:space="preserve"> </w:t>
            </w:r>
            <w:r w:rsidRPr="00AD6340">
              <w:rPr>
                <w:lang w:val="en-ZA"/>
              </w:rPr>
              <w:t>Framework for Teachers within their teacher education programmes</w:t>
            </w:r>
          </w:p>
          <w:p w:rsidR="004E2836" w:rsidRPr="00AD6340" w:rsidRDefault="004E2836" w:rsidP="00233F03">
            <w:pPr>
              <w:pStyle w:val="ListParagraph"/>
              <w:numPr>
                <w:ilvl w:val="0"/>
                <w:numId w:val="20"/>
              </w:numPr>
              <w:jc w:val="left"/>
              <w:rPr>
                <w:lang w:val="en-ZA"/>
              </w:rPr>
            </w:pPr>
            <w:r w:rsidRPr="00AD6340">
              <w:rPr>
                <w:lang w:val="en-ZA"/>
              </w:rPr>
              <w:t>Staff within NCERD act as role models f</w:t>
            </w:r>
            <w:r w:rsidR="008B6027">
              <w:rPr>
                <w:lang w:val="en-ZA"/>
              </w:rPr>
              <w:t>or teachers in ICT Integration.</w:t>
            </w:r>
          </w:p>
        </w:tc>
        <w:tc>
          <w:tcPr>
            <w:tcW w:w="1162" w:type="dxa"/>
            <w:tcBorders>
              <w:top w:val="single" w:sz="6" w:space="0" w:color="auto"/>
              <w:left w:val="single" w:sz="6" w:space="0" w:color="auto"/>
              <w:bottom w:val="single" w:sz="6" w:space="0" w:color="auto"/>
              <w:right w:val="single" w:sz="12" w:space="0" w:color="auto"/>
            </w:tcBorders>
            <w:shd w:val="solid" w:color="FFFFFF" w:fill="auto"/>
            <w:vAlign w:val="center"/>
          </w:tcPr>
          <w:p w:rsidR="004E2836" w:rsidRPr="00C2548D" w:rsidRDefault="004E2836" w:rsidP="00233F03">
            <w:pPr>
              <w:jc w:val="center"/>
              <w:rPr>
                <w:lang w:val="en-ZA"/>
              </w:rPr>
            </w:pPr>
            <w:r w:rsidRPr="00C2548D">
              <w:rPr>
                <w:lang w:val="en-ZA"/>
              </w:rPr>
              <w:t>High</w:t>
            </w:r>
          </w:p>
        </w:tc>
      </w:tr>
      <w:tr w:rsidR="004E2836"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4E2836" w:rsidRPr="00C2548D" w:rsidRDefault="004E2836" w:rsidP="00F05FB7">
            <w:pPr>
              <w:jc w:val="left"/>
              <w:rPr>
                <w:lang w:val="en-ZA"/>
              </w:rPr>
            </w:pPr>
            <w:r w:rsidRPr="00C2548D">
              <w:rPr>
                <w:lang w:val="en-ZA"/>
              </w:rPr>
              <w:t>World Bank</w:t>
            </w:r>
          </w:p>
        </w:tc>
        <w:tc>
          <w:tcPr>
            <w:tcW w:w="5912" w:type="dxa"/>
            <w:tcBorders>
              <w:top w:val="single" w:sz="6" w:space="0" w:color="auto"/>
              <w:left w:val="single" w:sz="4" w:space="0" w:color="auto"/>
              <w:bottom w:val="single" w:sz="4" w:space="0" w:color="auto"/>
              <w:right w:val="single" w:sz="6" w:space="0" w:color="auto"/>
            </w:tcBorders>
            <w:shd w:val="solid" w:color="FFFFFF" w:fill="auto"/>
          </w:tcPr>
          <w:p w:rsidR="004E2836" w:rsidRPr="00AD6340" w:rsidRDefault="004E2836" w:rsidP="00233F03">
            <w:pPr>
              <w:pStyle w:val="ListParagraph"/>
              <w:numPr>
                <w:ilvl w:val="0"/>
                <w:numId w:val="20"/>
              </w:numPr>
              <w:jc w:val="left"/>
              <w:rPr>
                <w:lang w:val="en-ZA"/>
              </w:rPr>
            </w:pPr>
            <w:r w:rsidRPr="00AD6340">
              <w:rPr>
                <w:lang w:val="en-ZA"/>
              </w:rPr>
              <w:t xml:space="preserve">Primary funder of </w:t>
            </w:r>
            <w:r w:rsidR="00233F03">
              <w:rPr>
                <w:lang w:val="en-ZA"/>
              </w:rPr>
              <w:t xml:space="preserve">teacher </w:t>
            </w:r>
            <w:r w:rsidRPr="00AD6340">
              <w:rPr>
                <w:lang w:val="en-ZA"/>
              </w:rPr>
              <w:t>education project in Guyana</w:t>
            </w:r>
            <w:r w:rsidR="004434F7" w:rsidRPr="00AD6340">
              <w:rPr>
                <w:lang w:val="en-ZA"/>
              </w:rPr>
              <w:t>.</w:t>
            </w:r>
          </w:p>
          <w:p w:rsidR="004E2836" w:rsidRPr="00AD6340" w:rsidRDefault="004E2836" w:rsidP="00233F03">
            <w:pPr>
              <w:pStyle w:val="ListParagraph"/>
              <w:numPr>
                <w:ilvl w:val="0"/>
                <w:numId w:val="20"/>
              </w:numPr>
              <w:jc w:val="left"/>
              <w:rPr>
                <w:lang w:val="en-ZA"/>
              </w:rPr>
            </w:pPr>
            <w:r w:rsidRPr="00AD6340">
              <w:rPr>
                <w:lang w:val="en-ZA"/>
              </w:rPr>
              <w:t xml:space="preserve">Has a strong interest in use of ICT in education, and is a strong advocate for </w:t>
            </w:r>
            <w:r w:rsidR="00971AE3" w:rsidRPr="00AD6340">
              <w:rPr>
                <w:lang w:val="en-ZA"/>
              </w:rPr>
              <w:t>the ICT Professional Development Strategy for Teachers in Guyana</w:t>
            </w:r>
            <w:r w:rsidR="004434F7" w:rsidRPr="00AD6340">
              <w:rPr>
                <w:lang w:val="en-ZA"/>
              </w:rPr>
              <w:t>.</w:t>
            </w:r>
          </w:p>
        </w:tc>
        <w:tc>
          <w:tcPr>
            <w:tcW w:w="1162" w:type="dxa"/>
            <w:tcBorders>
              <w:top w:val="single" w:sz="6" w:space="0" w:color="auto"/>
              <w:left w:val="single" w:sz="6" w:space="0" w:color="auto"/>
              <w:bottom w:val="single" w:sz="4" w:space="0" w:color="auto"/>
              <w:right w:val="single" w:sz="12" w:space="0" w:color="auto"/>
            </w:tcBorders>
            <w:shd w:val="solid" w:color="FFFFFF" w:fill="auto"/>
            <w:vAlign w:val="center"/>
          </w:tcPr>
          <w:p w:rsidR="004E2836" w:rsidRPr="00C2548D" w:rsidRDefault="004E2836" w:rsidP="00233F03">
            <w:pPr>
              <w:jc w:val="center"/>
              <w:rPr>
                <w:lang w:val="en-ZA"/>
              </w:rPr>
            </w:pPr>
            <w:r w:rsidRPr="00C2548D">
              <w:rPr>
                <w:lang w:val="en-ZA"/>
              </w:rPr>
              <w:t>High</w:t>
            </w:r>
          </w:p>
        </w:tc>
      </w:tr>
      <w:tr w:rsidR="004E2836"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4E2836" w:rsidRPr="00FB430C" w:rsidRDefault="004E2836" w:rsidP="00F05FB7">
            <w:pPr>
              <w:jc w:val="left"/>
              <w:rPr>
                <w:lang w:val="en-ZA"/>
              </w:rPr>
            </w:pPr>
            <w:r w:rsidRPr="00FB430C">
              <w:rPr>
                <w:lang w:val="en-ZA"/>
              </w:rPr>
              <w:t>Commonwealth Secretariat</w:t>
            </w:r>
          </w:p>
        </w:tc>
        <w:tc>
          <w:tcPr>
            <w:tcW w:w="5912" w:type="dxa"/>
            <w:tcBorders>
              <w:top w:val="single" w:sz="6" w:space="0" w:color="auto"/>
              <w:left w:val="single" w:sz="4" w:space="0" w:color="auto"/>
              <w:bottom w:val="single" w:sz="6" w:space="0" w:color="auto"/>
              <w:right w:val="single" w:sz="6" w:space="0" w:color="auto"/>
            </w:tcBorders>
            <w:shd w:val="solid" w:color="FFFFFF" w:fill="auto"/>
          </w:tcPr>
          <w:p w:rsidR="004E2836" w:rsidRPr="00FB430C" w:rsidRDefault="004E2836" w:rsidP="00233F03">
            <w:pPr>
              <w:pStyle w:val="ListParagraph"/>
              <w:numPr>
                <w:ilvl w:val="0"/>
                <w:numId w:val="20"/>
              </w:numPr>
              <w:jc w:val="left"/>
              <w:rPr>
                <w:lang w:val="en-ZA"/>
              </w:rPr>
            </w:pPr>
            <w:r w:rsidRPr="00FB430C">
              <w:rPr>
                <w:lang w:val="en-ZA"/>
              </w:rPr>
              <w:t>Leading current process to launch the ICT Professional Development Strategy for Teachers in Guyana</w:t>
            </w:r>
            <w:r w:rsidRPr="00FB430C">
              <w:rPr>
                <w:sz w:val="20"/>
                <w:lang w:val="en-ZA"/>
              </w:rPr>
              <w:t xml:space="preserve"> </w:t>
            </w:r>
            <w:r w:rsidRPr="00FB430C">
              <w:rPr>
                <w:lang w:val="en-ZA"/>
              </w:rPr>
              <w:t>in</w:t>
            </w:r>
            <w:r w:rsidR="004434F7" w:rsidRPr="00FB430C">
              <w:rPr>
                <w:lang w:val="en-ZA"/>
              </w:rPr>
              <w:t xml:space="preserve"> partnership with the Guyana </w:t>
            </w:r>
            <w:proofErr w:type="spellStart"/>
            <w:r w:rsidR="004434F7" w:rsidRPr="00FB430C">
              <w:rPr>
                <w:lang w:val="en-ZA"/>
              </w:rPr>
              <w:t>MoE</w:t>
            </w:r>
            <w:proofErr w:type="spellEnd"/>
            <w:r w:rsidR="004434F7" w:rsidRPr="00FB430C">
              <w:rPr>
                <w:lang w:val="en-ZA"/>
              </w:rPr>
              <w:t>.</w:t>
            </w:r>
          </w:p>
          <w:p w:rsidR="00454B76" w:rsidRPr="00FB430C" w:rsidRDefault="00454B76" w:rsidP="00233F03">
            <w:pPr>
              <w:pStyle w:val="ListParagraph"/>
              <w:numPr>
                <w:ilvl w:val="0"/>
                <w:numId w:val="20"/>
              </w:numPr>
              <w:jc w:val="left"/>
              <w:rPr>
                <w:lang w:val="en-ZA"/>
              </w:rPr>
            </w:pPr>
            <w:r w:rsidRPr="00FB430C">
              <w:rPr>
                <w:lang w:val="en-ZA"/>
              </w:rPr>
              <w:t>Key player in replication of Guyana ICT in Education Initiative in other countries</w:t>
            </w:r>
            <w:r w:rsidR="008B6027">
              <w:rPr>
                <w:lang w:val="en-ZA"/>
              </w:rPr>
              <w:t>.</w:t>
            </w:r>
          </w:p>
        </w:tc>
        <w:tc>
          <w:tcPr>
            <w:tcW w:w="1162" w:type="dxa"/>
            <w:tcBorders>
              <w:top w:val="single" w:sz="6" w:space="0" w:color="auto"/>
              <w:left w:val="single" w:sz="6" w:space="0" w:color="auto"/>
              <w:bottom w:val="single" w:sz="6" w:space="0" w:color="auto"/>
              <w:right w:val="single" w:sz="12" w:space="0" w:color="auto"/>
            </w:tcBorders>
            <w:shd w:val="solid" w:color="FFFFFF" w:fill="auto"/>
            <w:vAlign w:val="center"/>
          </w:tcPr>
          <w:p w:rsidR="004E2836" w:rsidRPr="00C2548D" w:rsidRDefault="004E2836" w:rsidP="00233F03">
            <w:pPr>
              <w:jc w:val="center"/>
              <w:rPr>
                <w:lang w:val="en-ZA"/>
              </w:rPr>
            </w:pPr>
            <w:r>
              <w:rPr>
                <w:lang w:val="en-ZA"/>
              </w:rPr>
              <w:t>Medium</w:t>
            </w:r>
          </w:p>
        </w:tc>
      </w:tr>
      <w:tr w:rsidR="004E2836"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4E2836" w:rsidRPr="00FB430C" w:rsidRDefault="004E2836" w:rsidP="00F05FB7">
            <w:pPr>
              <w:jc w:val="left"/>
              <w:rPr>
                <w:lang w:val="en-ZA"/>
              </w:rPr>
            </w:pPr>
            <w:r w:rsidRPr="00FB430C">
              <w:rPr>
                <w:lang w:val="en-ZA"/>
              </w:rPr>
              <w:t>Commonwealth of Learning</w:t>
            </w:r>
          </w:p>
        </w:tc>
        <w:tc>
          <w:tcPr>
            <w:tcW w:w="5912" w:type="dxa"/>
            <w:tcBorders>
              <w:top w:val="single" w:sz="6" w:space="0" w:color="auto"/>
              <w:left w:val="single" w:sz="4" w:space="0" w:color="auto"/>
              <w:bottom w:val="single" w:sz="6" w:space="0" w:color="auto"/>
              <w:right w:val="single" w:sz="6" w:space="0" w:color="auto"/>
            </w:tcBorders>
            <w:shd w:val="solid" w:color="FFFFFF" w:fill="auto"/>
          </w:tcPr>
          <w:p w:rsidR="004E2836" w:rsidRPr="00FB430C" w:rsidRDefault="004E2836" w:rsidP="00233F03">
            <w:pPr>
              <w:pStyle w:val="ListParagraph"/>
              <w:numPr>
                <w:ilvl w:val="0"/>
                <w:numId w:val="20"/>
              </w:numPr>
              <w:jc w:val="left"/>
              <w:rPr>
                <w:lang w:val="en-ZA"/>
              </w:rPr>
            </w:pPr>
            <w:r w:rsidRPr="00FB430C">
              <w:rPr>
                <w:lang w:val="en-ZA"/>
              </w:rPr>
              <w:t>Key inter-governmental organization, with strong interest in, and history of, supporting education in Guyana</w:t>
            </w:r>
            <w:r w:rsidR="004434F7" w:rsidRPr="00FB430C">
              <w:rPr>
                <w:lang w:val="en-ZA"/>
              </w:rPr>
              <w:t>.</w:t>
            </w:r>
          </w:p>
          <w:p w:rsidR="00454B76" w:rsidRPr="00FB430C" w:rsidRDefault="00454B76" w:rsidP="00233F03">
            <w:pPr>
              <w:pStyle w:val="ListParagraph"/>
              <w:numPr>
                <w:ilvl w:val="0"/>
                <w:numId w:val="20"/>
              </w:numPr>
              <w:jc w:val="left"/>
              <w:rPr>
                <w:lang w:val="en-ZA"/>
              </w:rPr>
            </w:pPr>
            <w:r w:rsidRPr="00FB430C">
              <w:rPr>
                <w:lang w:val="en-ZA"/>
              </w:rPr>
              <w:t>Key player in replication of Guyana ICT in Education Initiative in other countries</w:t>
            </w:r>
            <w:r w:rsidR="008B6027">
              <w:rPr>
                <w:lang w:val="en-ZA"/>
              </w:rPr>
              <w:t>.</w:t>
            </w:r>
          </w:p>
        </w:tc>
        <w:tc>
          <w:tcPr>
            <w:tcW w:w="1162" w:type="dxa"/>
            <w:tcBorders>
              <w:top w:val="single" w:sz="6" w:space="0" w:color="auto"/>
              <w:left w:val="single" w:sz="6" w:space="0" w:color="auto"/>
              <w:bottom w:val="single" w:sz="6" w:space="0" w:color="auto"/>
              <w:right w:val="single" w:sz="12" w:space="0" w:color="auto"/>
            </w:tcBorders>
            <w:shd w:val="solid" w:color="FFFFFF" w:fill="auto"/>
            <w:vAlign w:val="center"/>
          </w:tcPr>
          <w:p w:rsidR="004E2836" w:rsidRPr="00C2548D" w:rsidRDefault="004E2836" w:rsidP="00233F03">
            <w:pPr>
              <w:jc w:val="center"/>
              <w:rPr>
                <w:lang w:val="en-ZA"/>
              </w:rPr>
            </w:pPr>
            <w:r w:rsidRPr="00C2548D">
              <w:rPr>
                <w:lang w:val="en-ZA"/>
              </w:rPr>
              <w:t>Medium</w:t>
            </w:r>
          </w:p>
        </w:tc>
      </w:tr>
      <w:tr w:rsidR="004E2836"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4E2836" w:rsidRPr="00C2548D" w:rsidRDefault="004E2836" w:rsidP="00F05FB7">
            <w:pPr>
              <w:jc w:val="left"/>
              <w:rPr>
                <w:lang w:val="en-ZA"/>
              </w:rPr>
            </w:pPr>
            <w:r w:rsidRPr="00C2548D">
              <w:rPr>
                <w:lang w:val="en-ZA"/>
              </w:rPr>
              <w:t>Microsoft</w:t>
            </w:r>
          </w:p>
        </w:tc>
        <w:tc>
          <w:tcPr>
            <w:tcW w:w="5912" w:type="dxa"/>
            <w:tcBorders>
              <w:top w:val="single" w:sz="6" w:space="0" w:color="auto"/>
              <w:left w:val="single" w:sz="4" w:space="0" w:color="auto"/>
              <w:bottom w:val="single" w:sz="6" w:space="0" w:color="auto"/>
              <w:right w:val="single" w:sz="6" w:space="0" w:color="auto"/>
            </w:tcBorders>
            <w:shd w:val="solid" w:color="FFFFFF" w:fill="auto"/>
          </w:tcPr>
          <w:p w:rsidR="004E2836" w:rsidRPr="00AD6340" w:rsidRDefault="004E2836" w:rsidP="00233F03">
            <w:pPr>
              <w:pStyle w:val="ListParagraph"/>
              <w:numPr>
                <w:ilvl w:val="0"/>
                <w:numId w:val="20"/>
              </w:numPr>
              <w:jc w:val="left"/>
              <w:rPr>
                <w:lang w:val="en-ZA"/>
              </w:rPr>
            </w:pPr>
            <w:r w:rsidRPr="00AD6340">
              <w:rPr>
                <w:lang w:val="en-ZA"/>
              </w:rPr>
              <w:t xml:space="preserve">Key </w:t>
            </w:r>
            <w:proofErr w:type="gramStart"/>
            <w:r w:rsidRPr="00AD6340">
              <w:rPr>
                <w:lang w:val="en-ZA"/>
              </w:rPr>
              <w:t>te</w:t>
            </w:r>
            <w:r w:rsidR="004434F7" w:rsidRPr="00AD6340">
              <w:rPr>
                <w:lang w:val="en-ZA"/>
              </w:rPr>
              <w:t xml:space="preserve">chnology </w:t>
            </w:r>
            <w:r w:rsidR="00DE039F" w:rsidRPr="00AD6340">
              <w:rPr>
                <w:lang w:val="en-ZA"/>
              </w:rPr>
              <w:t>company</w:t>
            </w:r>
            <w:proofErr w:type="gramEnd"/>
            <w:r w:rsidR="00DE039F" w:rsidRPr="00AD6340">
              <w:rPr>
                <w:lang w:val="en-ZA"/>
              </w:rPr>
              <w:t xml:space="preserve">, </w:t>
            </w:r>
            <w:r w:rsidRPr="00AD6340">
              <w:rPr>
                <w:lang w:val="en-ZA"/>
              </w:rPr>
              <w:t>with strong interest in, and history of, supporting education in Guyana</w:t>
            </w:r>
            <w:r w:rsidR="004434F7" w:rsidRPr="00AD6340">
              <w:rPr>
                <w:lang w:val="en-ZA"/>
              </w:rPr>
              <w:t>.</w:t>
            </w:r>
          </w:p>
        </w:tc>
        <w:tc>
          <w:tcPr>
            <w:tcW w:w="1162" w:type="dxa"/>
            <w:tcBorders>
              <w:top w:val="single" w:sz="6" w:space="0" w:color="auto"/>
              <w:left w:val="single" w:sz="6" w:space="0" w:color="auto"/>
              <w:bottom w:val="single" w:sz="6" w:space="0" w:color="auto"/>
              <w:right w:val="single" w:sz="12" w:space="0" w:color="auto"/>
            </w:tcBorders>
            <w:shd w:val="solid" w:color="FFFFFF" w:fill="auto"/>
            <w:vAlign w:val="center"/>
          </w:tcPr>
          <w:p w:rsidR="004E2836" w:rsidRPr="00C2548D" w:rsidRDefault="004E2836" w:rsidP="00233F03">
            <w:pPr>
              <w:jc w:val="center"/>
              <w:rPr>
                <w:lang w:val="en-ZA"/>
              </w:rPr>
            </w:pPr>
            <w:r w:rsidRPr="00C2548D">
              <w:rPr>
                <w:lang w:val="en-ZA"/>
              </w:rPr>
              <w:t>Medium</w:t>
            </w:r>
          </w:p>
        </w:tc>
      </w:tr>
      <w:tr w:rsidR="00454B76"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454B76" w:rsidRPr="00C2548D" w:rsidRDefault="00454B76" w:rsidP="00F05FB7">
            <w:pPr>
              <w:jc w:val="left"/>
              <w:rPr>
                <w:lang w:val="en-ZA"/>
              </w:rPr>
            </w:pPr>
            <w:r w:rsidRPr="00C2548D">
              <w:rPr>
                <w:lang w:val="en-ZA"/>
              </w:rPr>
              <w:t>Caribbean Knowledge and Learning Network</w:t>
            </w:r>
          </w:p>
        </w:tc>
        <w:tc>
          <w:tcPr>
            <w:tcW w:w="5912" w:type="dxa"/>
            <w:tcBorders>
              <w:top w:val="single" w:sz="6" w:space="0" w:color="auto"/>
              <w:left w:val="single" w:sz="4" w:space="0" w:color="auto"/>
              <w:bottom w:val="single" w:sz="6" w:space="0" w:color="auto"/>
              <w:right w:val="single" w:sz="6" w:space="0" w:color="auto"/>
            </w:tcBorders>
            <w:shd w:val="solid" w:color="FFFFFF" w:fill="auto"/>
          </w:tcPr>
          <w:p w:rsidR="00454B76" w:rsidRPr="00AD6340" w:rsidRDefault="00454B76" w:rsidP="00233F03">
            <w:pPr>
              <w:pStyle w:val="ListParagraph"/>
              <w:numPr>
                <w:ilvl w:val="0"/>
                <w:numId w:val="20"/>
              </w:numPr>
              <w:jc w:val="left"/>
              <w:rPr>
                <w:lang w:val="en-ZA"/>
              </w:rPr>
            </w:pPr>
            <w:r w:rsidRPr="00AD6340">
              <w:rPr>
                <w:lang w:val="en-ZA"/>
              </w:rPr>
              <w:t>Could support policy development around use of ICT at institutional level and national level</w:t>
            </w:r>
          </w:p>
          <w:p w:rsidR="00454B76" w:rsidRPr="00AD6340" w:rsidRDefault="00454B76" w:rsidP="00233F03">
            <w:pPr>
              <w:pStyle w:val="ListParagraph"/>
              <w:numPr>
                <w:ilvl w:val="0"/>
                <w:numId w:val="20"/>
              </w:numPr>
              <w:jc w:val="left"/>
              <w:rPr>
                <w:lang w:val="en-ZA"/>
              </w:rPr>
            </w:pPr>
            <w:r w:rsidRPr="00AD6340">
              <w:rPr>
                <w:lang w:val="en-ZA"/>
              </w:rPr>
              <w:t>Offers workshops and training programmes in the use of ICT in teaching and learning, as well as course design and teaching online using the Moodle.</w:t>
            </w:r>
          </w:p>
        </w:tc>
        <w:tc>
          <w:tcPr>
            <w:tcW w:w="1162" w:type="dxa"/>
            <w:tcBorders>
              <w:top w:val="single" w:sz="6" w:space="0" w:color="auto"/>
              <w:left w:val="single" w:sz="6" w:space="0" w:color="auto"/>
              <w:bottom w:val="single" w:sz="6" w:space="0" w:color="auto"/>
              <w:right w:val="single" w:sz="12" w:space="0" w:color="auto"/>
            </w:tcBorders>
            <w:shd w:val="solid" w:color="FFFFFF" w:fill="auto"/>
            <w:vAlign w:val="center"/>
          </w:tcPr>
          <w:p w:rsidR="00454B76" w:rsidRPr="00C2548D" w:rsidRDefault="00454B76" w:rsidP="00233F03">
            <w:pPr>
              <w:jc w:val="center"/>
              <w:rPr>
                <w:lang w:val="en-ZA"/>
              </w:rPr>
            </w:pPr>
            <w:r w:rsidRPr="00C2548D">
              <w:rPr>
                <w:lang w:val="en-ZA"/>
              </w:rPr>
              <w:t>Low</w:t>
            </w:r>
          </w:p>
        </w:tc>
      </w:tr>
      <w:tr w:rsidR="008E0773" w:rsidRPr="00C2548D" w:rsidTr="00454B76">
        <w:trPr>
          <w:jc w:val="center"/>
        </w:trPr>
        <w:tc>
          <w:tcPr>
            <w:tcW w:w="2012" w:type="dxa"/>
            <w:tcBorders>
              <w:top w:val="single" w:sz="4" w:space="0" w:color="auto"/>
              <w:left w:val="single" w:sz="12" w:space="0" w:color="auto"/>
              <w:bottom w:val="single" w:sz="4" w:space="0" w:color="auto"/>
              <w:right w:val="single" w:sz="4" w:space="0" w:color="auto"/>
            </w:tcBorders>
            <w:shd w:val="solid" w:color="FFFFFF" w:fill="auto"/>
          </w:tcPr>
          <w:p w:rsidR="008E0773" w:rsidRPr="00C2548D" w:rsidRDefault="008E0773" w:rsidP="00F05FB7">
            <w:pPr>
              <w:jc w:val="left"/>
              <w:rPr>
                <w:lang w:val="en-ZA"/>
              </w:rPr>
            </w:pPr>
            <w:r>
              <w:rPr>
                <w:lang w:val="en-ZA"/>
              </w:rPr>
              <w:t>Students/Learners (School level)</w:t>
            </w:r>
          </w:p>
        </w:tc>
        <w:tc>
          <w:tcPr>
            <w:tcW w:w="5912" w:type="dxa"/>
            <w:tcBorders>
              <w:top w:val="single" w:sz="6" w:space="0" w:color="auto"/>
              <w:left w:val="single" w:sz="4" w:space="0" w:color="auto"/>
              <w:bottom w:val="single" w:sz="6" w:space="0" w:color="auto"/>
              <w:right w:val="single" w:sz="6" w:space="0" w:color="auto"/>
            </w:tcBorders>
            <w:shd w:val="solid" w:color="FFFFFF" w:fill="auto"/>
          </w:tcPr>
          <w:p w:rsidR="008E0773" w:rsidRPr="00AD6340" w:rsidRDefault="008E0773" w:rsidP="00233F03">
            <w:pPr>
              <w:pStyle w:val="ListParagraph"/>
              <w:numPr>
                <w:ilvl w:val="0"/>
                <w:numId w:val="20"/>
              </w:numPr>
              <w:jc w:val="left"/>
              <w:rPr>
                <w:lang w:val="en-ZA"/>
              </w:rPr>
            </w:pPr>
            <w:r>
              <w:rPr>
                <w:lang w:val="en-ZA"/>
              </w:rPr>
              <w:t>Key in understanding the importance of ICT and benefits in improving their education.</w:t>
            </w:r>
          </w:p>
        </w:tc>
        <w:tc>
          <w:tcPr>
            <w:tcW w:w="1162" w:type="dxa"/>
            <w:tcBorders>
              <w:top w:val="single" w:sz="6" w:space="0" w:color="auto"/>
              <w:left w:val="single" w:sz="6" w:space="0" w:color="auto"/>
              <w:bottom w:val="single" w:sz="6" w:space="0" w:color="auto"/>
              <w:right w:val="single" w:sz="12" w:space="0" w:color="auto"/>
            </w:tcBorders>
            <w:shd w:val="solid" w:color="FFFFFF" w:fill="auto"/>
            <w:vAlign w:val="center"/>
          </w:tcPr>
          <w:p w:rsidR="008E0773" w:rsidRPr="00C2548D" w:rsidRDefault="008E0773" w:rsidP="00233F03">
            <w:pPr>
              <w:jc w:val="center"/>
              <w:rPr>
                <w:lang w:val="en-ZA"/>
              </w:rPr>
            </w:pPr>
            <w:r>
              <w:rPr>
                <w:lang w:val="en-ZA"/>
              </w:rPr>
              <w:t>Low</w:t>
            </w:r>
          </w:p>
        </w:tc>
      </w:tr>
      <w:tr w:rsidR="008E0773" w:rsidRPr="00C2548D" w:rsidTr="00454B76">
        <w:trPr>
          <w:jc w:val="center"/>
        </w:trPr>
        <w:tc>
          <w:tcPr>
            <w:tcW w:w="2012" w:type="dxa"/>
            <w:tcBorders>
              <w:top w:val="single" w:sz="4" w:space="0" w:color="auto"/>
              <w:left w:val="single" w:sz="12" w:space="0" w:color="auto"/>
              <w:bottom w:val="single" w:sz="12" w:space="0" w:color="auto"/>
              <w:right w:val="single" w:sz="4" w:space="0" w:color="auto"/>
            </w:tcBorders>
            <w:shd w:val="solid" w:color="FFFFFF" w:fill="auto"/>
          </w:tcPr>
          <w:p w:rsidR="008E0773" w:rsidRPr="00C2548D" w:rsidRDefault="008E0773" w:rsidP="00F05FB7">
            <w:pPr>
              <w:jc w:val="left"/>
              <w:rPr>
                <w:lang w:val="en-ZA"/>
              </w:rPr>
            </w:pPr>
            <w:r>
              <w:rPr>
                <w:lang w:val="en-ZA"/>
              </w:rPr>
              <w:t>Parents</w:t>
            </w:r>
          </w:p>
        </w:tc>
        <w:tc>
          <w:tcPr>
            <w:tcW w:w="5912" w:type="dxa"/>
            <w:tcBorders>
              <w:top w:val="single" w:sz="6" w:space="0" w:color="auto"/>
              <w:left w:val="single" w:sz="4" w:space="0" w:color="auto"/>
              <w:bottom w:val="single" w:sz="12" w:space="0" w:color="auto"/>
              <w:right w:val="single" w:sz="6" w:space="0" w:color="auto"/>
            </w:tcBorders>
            <w:shd w:val="solid" w:color="FFFFFF" w:fill="auto"/>
          </w:tcPr>
          <w:p w:rsidR="008E0773" w:rsidRPr="00AD6340" w:rsidRDefault="008E0773" w:rsidP="00233F03">
            <w:pPr>
              <w:pStyle w:val="ListParagraph"/>
              <w:numPr>
                <w:ilvl w:val="0"/>
                <w:numId w:val="20"/>
              </w:numPr>
              <w:jc w:val="left"/>
              <w:rPr>
                <w:lang w:val="en-ZA"/>
              </w:rPr>
            </w:pPr>
            <w:r>
              <w:rPr>
                <w:lang w:val="en-ZA"/>
              </w:rPr>
              <w:t>Key in understanding the importance of ICT in education and benefits for their children.</w:t>
            </w:r>
          </w:p>
        </w:tc>
        <w:tc>
          <w:tcPr>
            <w:tcW w:w="1162" w:type="dxa"/>
            <w:tcBorders>
              <w:top w:val="single" w:sz="6" w:space="0" w:color="auto"/>
              <w:left w:val="single" w:sz="6" w:space="0" w:color="auto"/>
              <w:bottom w:val="single" w:sz="12" w:space="0" w:color="auto"/>
              <w:right w:val="single" w:sz="12" w:space="0" w:color="auto"/>
            </w:tcBorders>
            <w:shd w:val="solid" w:color="FFFFFF" w:fill="auto"/>
            <w:vAlign w:val="center"/>
          </w:tcPr>
          <w:p w:rsidR="008E0773" w:rsidRPr="00C2548D" w:rsidRDefault="008E0773" w:rsidP="00233F03">
            <w:pPr>
              <w:jc w:val="center"/>
              <w:rPr>
                <w:lang w:val="en-ZA"/>
              </w:rPr>
            </w:pPr>
            <w:r>
              <w:rPr>
                <w:lang w:val="en-ZA"/>
              </w:rPr>
              <w:t>Low</w:t>
            </w:r>
          </w:p>
        </w:tc>
      </w:tr>
    </w:tbl>
    <w:p w:rsidR="00707994" w:rsidRPr="00A35AFC" w:rsidRDefault="00A35AFC" w:rsidP="00233F03">
      <w:pPr>
        <w:pStyle w:val="Heading2"/>
        <w:rPr>
          <w:lang w:val="en-ZA"/>
        </w:rPr>
      </w:pPr>
      <w:r>
        <w:rPr>
          <w:lang w:val="en-ZA"/>
        </w:rPr>
        <w:lastRenderedPageBreak/>
        <w:t>Key Target A</w:t>
      </w:r>
      <w:r w:rsidR="00707994" w:rsidRPr="00A35AFC">
        <w:rPr>
          <w:lang w:val="en-ZA"/>
        </w:rPr>
        <w:t>udiences</w:t>
      </w:r>
    </w:p>
    <w:p w:rsidR="00A35AFC" w:rsidRPr="00AB28F0" w:rsidRDefault="00A35AFC" w:rsidP="00A35AFC">
      <w:pPr>
        <w:rPr>
          <w:lang w:val="en-ZA"/>
        </w:rPr>
      </w:pPr>
      <w:r w:rsidRPr="00AB28F0">
        <w:rPr>
          <w:lang w:val="en-ZA"/>
        </w:rPr>
        <w:t xml:space="preserve">This section seeks to define those groups that will form the primary target </w:t>
      </w:r>
      <w:r w:rsidR="00F15DFF">
        <w:rPr>
          <w:lang w:val="en-ZA"/>
        </w:rPr>
        <w:t xml:space="preserve">audience </w:t>
      </w:r>
      <w:r w:rsidRPr="00AB28F0">
        <w:rPr>
          <w:lang w:val="en-ZA"/>
        </w:rPr>
        <w:t xml:space="preserve">of </w:t>
      </w:r>
      <w:r w:rsidR="00F15DFF">
        <w:rPr>
          <w:lang w:val="en-ZA"/>
        </w:rPr>
        <w:t xml:space="preserve">the </w:t>
      </w:r>
      <w:r w:rsidR="00DE039F" w:rsidRPr="00323B39">
        <w:rPr>
          <w:lang w:val="en-ZA"/>
        </w:rPr>
        <w:t xml:space="preserve">Communication and Advocacy Strategy </w:t>
      </w:r>
      <w:r>
        <w:rPr>
          <w:lang w:val="en-ZA"/>
        </w:rPr>
        <w:t xml:space="preserve">activities. </w:t>
      </w:r>
      <w:r w:rsidRPr="00AB28F0">
        <w:rPr>
          <w:lang w:val="en-ZA"/>
        </w:rPr>
        <w:t>These groups will incorporate the beneficiaries defined in the previous section, but should not be confused with them.</w:t>
      </w:r>
    </w:p>
    <w:p w:rsidR="00A35AFC" w:rsidRPr="00AB28F0" w:rsidRDefault="00A35AFC" w:rsidP="00A35AFC">
      <w:pPr>
        <w:rPr>
          <w:lang w:val="en-ZA"/>
        </w:rPr>
      </w:pPr>
    </w:p>
    <w:p w:rsidR="00A35AFC" w:rsidRDefault="00A35AFC" w:rsidP="00A35AFC">
      <w:pPr>
        <w:rPr>
          <w:lang w:val="en-ZA"/>
        </w:rPr>
      </w:pPr>
      <w:r w:rsidRPr="00AB28F0">
        <w:rPr>
          <w:lang w:val="en-ZA"/>
        </w:rPr>
        <w:t>The key potential targ</w:t>
      </w:r>
      <w:r>
        <w:rPr>
          <w:lang w:val="en-ZA"/>
        </w:rPr>
        <w:t xml:space="preserve">et audiences identified </w:t>
      </w:r>
      <w:r w:rsidRPr="00AB28F0">
        <w:rPr>
          <w:lang w:val="en-ZA"/>
        </w:rPr>
        <w:t>are as follows:</w:t>
      </w:r>
    </w:p>
    <w:p w:rsidR="00121560" w:rsidRDefault="00121560" w:rsidP="00A35AFC">
      <w:pPr>
        <w:rPr>
          <w:lang w:val="en-ZA"/>
        </w:rPr>
      </w:pPr>
    </w:p>
    <w:p w:rsidR="00121560" w:rsidRPr="00EF29BA" w:rsidRDefault="00121560" w:rsidP="00121560">
      <w:pPr>
        <w:pStyle w:val="TableReference"/>
        <w:rPr>
          <w:lang w:val="en-ZA"/>
        </w:rPr>
      </w:pPr>
      <w:r w:rsidRPr="00AB28F0">
        <w:rPr>
          <w:lang w:val="en-ZA"/>
        </w:rPr>
        <w:t>Key Target Audiences</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510"/>
        <w:gridCol w:w="5732"/>
      </w:tblGrid>
      <w:tr w:rsidR="00121560" w:rsidRPr="00AB28F0" w:rsidTr="00F05FB7">
        <w:trPr>
          <w:tblHeader/>
        </w:trPr>
        <w:tc>
          <w:tcPr>
            <w:tcW w:w="1899" w:type="pct"/>
            <w:tcBorders>
              <w:top w:val="single" w:sz="12" w:space="0" w:color="auto"/>
              <w:bottom w:val="single" w:sz="12" w:space="0" w:color="auto"/>
            </w:tcBorders>
          </w:tcPr>
          <w:p w:rsidR="00121560" w:rsidRPr="00AB28F0" w:rsidRDefault="00121560" w:rsidP="00F05FB7">
            <w:pPr>
              <w:keepNext/>
              <w:jc w:val="center"/>
              <w:rPr>
                <w:b/>
                <w:lang w:val="en-ZA"/>
              </w:rPr>
            </w:pPr>
            <w:r w:rsidRPr="00AB28F0">
              <w:rPr>
                <w:b/>
                <w:lang w:val="en-ZA"/>
              </w:rPr>
              <w:t>Group</w:t>
            </w:r>
          </w:p>
        </w:tc>
        <w:tc>
          <w:tcPr>
            <w:tcW w:w="3101" w:type="pct"/>
            <w:tcBorders>
              <w:top w:val="single" w:sz="12" w:space="0" w:color="auto"/>
              <w:bottom w:val="single" w:sz="12" w:space="0" w:color="auto"/>
            </w:tcBorders>
          </w:tcPr>
          <w:p w:rsidR="00121560" w:rsidRPr="00AB28F0" w:rsidRDefault="00121560" w:rsidP="00F05FB7">
            <w:pPr>
              <w:keepNext/>
              <w:jc w:val="center"/>
              <w:rPr>
                <w:b/>
                <w:lang w:val="en-ZA"/>
              </w:rPr>
            </w:pPr>
            <w:r w:rsidRPr="00AB28F0">
              <w:rPr>
                <w:b/>
                <w:lang w:val="en-ZA"/>
              </w:rPr>
              <w:t>Members</w:t>
            </w:r>
          </w:p>
        </w:tc>
      </w:tr>
      <w:tr w:rsidR="00121560" w:rsidRPr="00AB28F0" w:rsidTr="00F05FB7">
        <w:tc>
          <w:tcPr>
            <w:tcW w:w="1899" w:type="pct"/>
            <w:tcBorders>
              <w:top w:val="single" w:sz="12" w:space="0" w:color="auto"/>
            </w:tcBorders>
            <w:vAlign w:val="center"/>
          </w:tcPr>
          <w:p w:rsidR="00121560" w:rsidRPr="00AB28F0" w:rsidRDefault="00121560" w:rsidP="00F05FB7">
            <w:pPr>
              <w:jc w:val="left"/>
              <w:rPr>
                <w:lang w:val="en-ZA"/>
              </w:rPr>
            </w:pPr>
            <w:r>
              <w:rPr>
                <w:lang w:val="en-ZA"/>
              </w:rPr>
              <w:t>Policy Makers</w:t>
            </w:r>
          </w:p>
        </w:tc>
        <w:tc>
          <w:tcPr>
            <w:tcW w:w="3101" w:type="pct"/>
            <w:tcBorders>
              <w:top w:val="single" w:sz="12" w:space="0" w:color="auto"/>
            </w:tcBorders>
          </w:tcPr>
          <w:p w:rsidR="00121560" w:rsidRPr="00EF29BA" w:rsidRDefault="00121560" w:rsidP="003915A1">
            <w:pPr>
              <w:pStyle w:val="ListParagraph"/>
              <w:numPr>
                <w:ilvl w:val="0"/>
                <w:numId w:val="6"/>
              </w:numPr>
              <w:rPr>
                <w:lang w:val="en-ZA"/>
              </w:rPr>
            </w:pPr>
            <w:r w:rsidRPr="00EF29BA">
              <w:rPr>
                <w:lang w:val="en-ZA"/>
              </w:rPr>
              <w:t>Ministry of Education Officials (Regional and National)</w:t>
            </w:r>
          </w:p>
        </w:tc>
      </w:tr>
      <w:tr w:rsidR="00121560" w:rsidRPr="00AB28F0" w:rsidTr="00F05FB7">
        <w:tc>
          <w:tcPr>
            <w:tcW w:w="1899" w:type="pct"/>
            <w:vAlign w:val="center"/>
          </w:tcPr>
          <w:p w:rsidR="00121560" w:rsidRPr="00AB28F0" w:rsidRDefault="004E2836" w:rsidP="00EF29BA">
            <w:pPr>
              <w:rPr>
                <w:lang w:val="en-ZA"/>
              </w:rPr>
            </w:pPr>
            <w:r>
              <w:rPr>
                <w:lang w:val="en-ZA"/>
              </w:rPr>
              <w:t>Teacher Education Providers</w:t>
            </w:r>
          </w:p>
        </w:tc>
        <w:tc>
          <w:tcPr>
            <w:tcW w:w="3101" w:type="pct"/>
          </w:tcPr>
          <w:p w:rsidR="00EF29BA" w:rsidRPr="00EF29BA" w:rsidRDefault="00EF29BA" w:rsidP="003915A1">
            <w:pPr>
              <w:pStyle w:val="ListParagraph"/>
              <w:numPr>
                <w:ilvl w:val="0"/>
                <w:numId w:val="6"/>
              </w:numPr>
              <w:jc w:val="left"/>
              <w:rPr>
                <w:lang w:val="en-ZA"/>
              </w:rPr>
            </w:pPr>
            <w:r w:rsidRPr="00EF29BA">
              <w:rPr>
                <w:lang w:val="en-ZA"/>
              </w:rPr>
              <w:t>Institutional senior management and Deans of Colleges, Schools, and/or Faculties of Education at:</w:t>
            </w:r>
          </w:p>
          <w:p w:rsidR="00EF29BA" w:rsidRDefault="00EF29BA" w:rsidP="003915A1">
            <w:pPr>
              <w:numPr>
                <w:ilvl w:val="1"/>
                <w:numId w:val="5"/>
              </w:numPr>
              <w:jc w:val="left"/>
              <w:rPr>
                <w:lang w:val="en-ZA"/>
              </w:rPr>
            </w:pPr>
            <w:r w:rsidRPr="00EF29BA">
              <w:rPr>
                <w:lang w:val="en-ZA"/>
              </w:rPr>
              <w:t xml:space="preserve">Cyril Potter College of Education (CPCE)  </w:t>
            </w:r>
          </w:p>
          <w:p w:rsidR="00EF29BA" w:rsidRDefault="00EF29BA" w:rsidP="003915A1">
            <w:pPr>
              <w:numPr>
                <w:ilvl w:val="1"/>
                <w:numId w:val="5"/>
              </w:numPr>
              <w:jc w:val="left"/>
              <w:rPr>
                <w:lang w:val="en-ZA"/>
              </w:rPr>
            </w:pPr>
            <w:r w:rsidRPr="00EF29BA">
              <w:rPr>
                <w:lang w:val="en-ZA"/>
              </w:rPr>
              <w:t>University of Guyana (UG)</w:t>
            </w:r>
          </w:p>
          <w:p w:rsidR="00121560" w:rsidRPr="00EF29BA" w:rsidRDefault="00EF29BA" w:rsidP="003915A1">
            <w:pPr>
              <w:numPr>
                <w:ilvl w:val="1"/>
                <w:numId w:val="5"/>
              </w:numPr>
              <w:jc w:val="left"/>
              <w:rPr>
                <w:lang w:val="en-ZA"/>
              </w:rPr>
            </w:pPr>
            <w:r w:rsidRPr="00EF29BA">
              <w:rPr>
                <w:lang w:val="en-ZA"/>
              </w:rPr>
              <w:t>National Centre for Educational Resource Development (NCERD)</w:t>
            </w:r>
          </w:p>
        </w:tc>
      </w:tr>
      <w:tr w:rsidR="00121560" w:rsidRPr="00AB28F0" w:rsidTr="00F05FB7">
        <w:tc>
          <w:tcPr>
            <w:tcW w:w="1899" w:type="pct"/>
            <w:vAlign w:val="center"/>
          </w:tcPr>
          <w:p w:rsidR="00121560" w:rsidRPr="00EF29BA" w:rsidRDefault="00EF29BA" w:rsidP="00EF29BA">
            <w:pPr>
              <w:rPr>
                <w:lang w:val="en-ZA"/>
              </w:rPr>
            </w:pPr>
            <w:r>
              <w:rPr>
                <w:lang w:val="en-ZA"/>
              </w:rPr>
              <w:t>School Management</w:t>
            </w:r>
          </w:p>
        </w:tc>
        <w:tc>
          <w:tcPr>
            <w:tcW w:w="3101" w:type="pct"/>
          </w:tcPr>
          <w:p w:rsidR="00EF29BA" w:rsidRPr="006A1CA6" w:rsidRDefault="00EF29BA" w:rsidP="003915A1">
            <w:pPr>
              <w:pStyle w:val="ListParagraph"/>
              <w:numPr>
                <w:ilvl w:val="0"/>
                <w:numId w:val="6"/>
              </w:numPr>
              <w:rPr>
                <w:lang w:val="en-ZA"/>
              </w:rPr>
            </w:pPr>
            <w:r w:rsidRPr="006A1CA6">
              <w:rPr>
                <w:lang w:val="en-ZA"/>
              </w:rPr>
              <w:t>Principals</w:t>
            </w:r>
          </w:p>
          <w:p w:rsidR="00121560" w:rsidRDefault="00EF29BA" w:rsidP="003915A1">
            <w:pPr>
              <w:pStyle w:val="ListParagraph"/>
              <w:numPr>
                <w:ilvl w:val="0"/>
                <w:numId w:val="6"/>
              </w:numPr>
              <w:rPr>
                <w:lang w:val="en-ZA"/>
              </w:rPr>
            </w:pPr>
            <w:r w:rsidRPr="006A1CA6">
              <w:rPr>
                <w:lang w:val="en-ZA"/>
              </w:rPr>
              <w:t>ICT Coordinators</w:t>
            </w:r>
          </w:p>
          <w:p w:rsidR="004434F7" w:rsidRPr="006A1CA6" w:rsidRDefault="004434F7" w:rsidP="003915A1">
            <w:pPr>
              <w:pStyle w:val="ListParagraph"/>
              <w:numPr>
                <w:ilvl w:val="0"/>
                <w:numId w:val="6"/>
              </w:numPr>
              <w:rPr>
                <w:lang w:val="en-ZA"/>
              </w:rPr>
            </w:pPr>
            <w:r>
              <w:rPr>
                <w:lang w:val="en-ZA"/>
              </w:rPr>
              <w:t>ICT Maintenance and Support Personnel</w:t>
            </w:r>
          </w:p>
        </w:tc>
      </w:tr>
      <w:tr w:rsidR="00121560" w:rsidRPr="00AB28F0" w:rsidTr="00F05FB7">
        <w:tc>
          <w:tcPr>
            <w:tcW w:w="1899" w:type="pct"/>
            <w:vAlign w:val="center"/>
          </w:tcPr>
          <w:p w:rsidR="00121560" w:rsidRPr="00AB28F0" w:rsidRDefault="00EF29BA" w:rsidP="00F05FB7">
            <w:pPr>
              <w:jc w:val="left"/>
              <w:rPr>
                <w:lang w:val="en-ZA"/>
              </w:rPr>
            </w:pPr>
            <w:r>
              <w:rPr>
                <w:lang w:val="en-ZA"/>
              </w:rPr>
              <w:t>S</w:t>
            </w:r>
            <w:r w:rsidR="00121560" w:rsidRPr="00AB28F0">
              <w:rPr>
                <w:lang w:val="en-ZA"/>
              </w:rPr>
              <w:t>tudents</w:t>
            </w:r>
            <w:r w:rsidR="008E0773">
              <w:rPr>
                <w:lang w:val="en-ZA"/>
              </w:rPr>
              <w:t xml:space="preserve"> (at Teaching Institutions)</w:t>
            </w:r>
          </w:p>
        </w:tc>
        <w:tc>
          <w:tcPr>
            <w:tcW w:w="3101" w:type="pct"/>
          </w:tcPr>
          <w:p w:rsidR="00EF29BA" w:rsidRPr="006A1CA6" w:rsidRDefault="00EF29BA" w:rsidP="003915A1">
            <w:pPr>
              <w:pStyle w:val="ListParagraph"/>
              <w:numPr>
                <w:ilvl w:val="0"/>
                <w:numId w:val="7"/>
              </w:numPr>
              <w:rPr>
                <w:lang w:val="en-ZA"/>
              </w:rPr>
            </w:pPr>
            <w:r w:rsidRPr="006A1CA6">
              <w:rPr>
                <w:lang w:val="en-ZA"/>
              </w:rPr>
              <w:t>Prospective Pre-Service Teacher Students</w:t>
            </w:r>
          </w:p>
          <w:p w:rsidR="00121560" w:rsidRPr="006A1CA6" w:rsidRDefault="00EF29BA" w:rsidP="003915A1">
            <w:pPr>
              <w:pStyle w:val="ListParagraph"/>
              <w:numPr>
                <w:ilvl w:val="0"/>
                <w:numId w:val="7"/>
              </w:numPr>
              <w:rPr>
                <w:lang w:val="en-ZA"/>
              </w:rPr>
            </w:pPr>
            <w:r w:rsidRPr="006A1CA6">
              <w:rPr>
                <w:lang w:val="en-ZA"/>
              </w:rPr>
              <w:t>Enrolled Pre-Service Teacher Students</w:t>
            </w:r>
          </w:p>
        </w:tc>
      </w:tr>
      <w:tr w:rsidR="00121560" w:rsidRPr="00AB28F0" w:rsidTr="00F05FB7">
        <w:tc>
          <w:tcPr>
            <w:tcW w:w="1899" w:type="pct"/>
            <w:vAlign w:val="center"/>
          </w:tcPr>
          <w:p w:rsidR="00121560" w:rsidRPr="00AB28F0" w:rsidRDefault="00EF29BA" w:rsidP="00F05FB7">
            <w:pPr>
              <w:jc w:val="left"/>
              <w:rPr>
                <w:lang w:val="en-ZA"/>
              </w:rPr>
            </w:pPr>
            <w:r>
              <w:rPr>
                <w:lang w:val="en-ZA"/>
              </w:rPr>
              <w:t>Teachers</w:t>
            </w:r>
          </w:p>
        </w:tc>
        <w:tc>
          <w:tcPr>
            <w:tcW w:w="3101" w:type="pct"/>
          </w:tcPr>
          <w:p w:rsidR="00121560" w:rsidRPr="006A1CA6" w:rsidRDefault="00EF29BA" w:rsidP="003915A1">
            <w:pPr>
              <w:pStyle w:val="ListParagraph"/>
              <w:numPr>
                <w:ilvl w:val="0"/>
                <w:numId w:val="8"/>
              </w:numPr>
              <w:jc w:val="left"/>
              <w:rPr>
                <w:lang w:val="en-ZA"/>
              </w:rPr>
            </w:pPr>
            <w:r w:rsidRPr="006A1CA6">
              <w:rPr>
                <w:lang w:val="en-ZA"/>
              </w:rPr>
              <w:t>I</w:t>
            </w:r>
            <w:r w:rsidR="00FF3D16">
              <w:rPr>
                <w:lang w:val="en-ZA"/>
              </w:rPr>
              <w:t>n-service T</w:t>
            </w:r>
            <w:r w:rsidRPr="006A1CA6">
              <w:rPr>
                <w:lang w:val="en-ZA"/>
              </w:rPr>
              <w:t>eachers</w:t>
            </w:r>
          </w:p>
        </w:tc>
      </w:tr>
      <w:tr w:rsidR="00310898" w:rsidRPr="00AB28F0" w:rsidTr="00D464F7">
        <w:tc>
          <w:tcPr>
            <w:tcW w:w="1899" w:type="pct"/>
          </w:tcPr>
          <w:p w:rsidR="00310898" w:rsidRPr="00C2548D" w:rsidRDefault="00DF67C1" w:rsidP="00DF67C1">
            <w:pPr>
              <w:jc w:val="left"/>
              <w:rPr>
                <w:lang w:val="en-ZA"/>
              </w:rPr>
            </w:pPr>
            <w:r>
              <w:rPr>
                <w:lang w:val="en-ZA"/>
              </w:rPr>
              <w:t>School Community</w:t>
            </w:r>
          </w:p>
        </w:tc>
        <w:tc>
          <w:tcPr>
            <w:tcW w:w="3101" w:type="pct"/>
          </w:tcPr>
          <w:p w:rsidR="00310898" w:rsidRDefault="00DF67C1" w:rsidP="003915A1">
            <w:pPr>
              <w:pStyle w:val="ListParagraph"/>
              <w:numPr>
                <w:ilvl w:val="0"/>
                <w:numId w:val="8"/>
              </w:numPr>
              <w:jc w:val="left"/>
              <w:rPr>
                <w:lang w:val="en-ZA"/>
              </w:rPr>
            </w:pPr>
            <w:r>
              <w:rPr>
                <w:lang w:val="en-ZA"/>
              </w:rPr>
              <w:t>Parents</w:t>
            </w:r>
          </w:p>
          <w:p w:rsidR="00DF67C1" w:rsidRPr="006A1CA6" w:rsidRDefault="00DF67C1" w:rsidP="003915A1">
            <w:pPr>
              <w:pStyle w:val="ListParagraph"/>
              <w:numPr>
                <w:ilvl w:val="0"/>
                <w:numId w:val="8"/>
              </w:numPr>
              <w:jc w:val="left"/>
              <w:rPr>
                <w:lang w:val="en-ZA"/>
              </w:rPr>
            </w:pPr>
            <w:r>
              <w:rPr>
                <w:lang w:val="en-ZA"/>
              </w:rPr>
              <w:t>Students</w:t>
            </w:r>
          </w:p>
        </w:tc>
      </w:tr>
    </w:tbl>
    <w:p w:rsidR="00DE039F" w:rsidRPr="00AB28F0" w:rsidRDefault="008B6027" w:rsidP="00DE039F">
      <w:pPr>
        <w:pStyle w:val="Heading2"/>
        <w:rPr>
          <w:lang w:val="en-ZA"/>
        </w:rPr>
      </w:pPr>
      <w:bookmarkStart w:id="1" w:name="_Toc244266062"/>
      <w:r>
        <w:rPr>
          <w:lang w:val="en-ZA"/>
        </w:rPr>
        <w:t xml:space="preserve">The Key Advocacy Positions </w:t>
      </w:r>
      <w:r w:rsidR="00DE039F" w:rsidRPr="00AB28F0">
        <w:rPr>
          <w:lang w:val="en-ZA"/>
        </w:rPr>
        <w:t>and Messages</w:t>
      </w:r>
      <w:bookmarkEnd w:id="1"/>
    </w:p>
    <w:p w:rsidR="00DE039F" w:rsidRDefault="00DE039F" w:rsidP="00DE039F">
      <w:pPr>
        <w:rPr>
          <w:rFonts w:ascii="Calibri" w:eastAsia="Calibri" w:hAnsi="Calibri" w:cs="Times New Roman"/>
          <w:lang w:val="en-ZA"/>
        </w:rPr>
      </w:pPr>
      <w:r w:rsidRPr="0087659C">
        <w:rPr>
          <w:rFonts w:ascii="Calibri" w:eastAsia="Calibri" w:hAnsi="Calibri" w:cs="Times New Roman"/>
          <w:lang w:val="en-ZA"/>
        </w:rPr>
        <w:t xml:space="preserve">Key to the success of </w:t>
      </w:r>
      <w:r w:rsidR="008B6027">
        <w:rPr>
          <w:rFonts w:ascii="Calibri" w:eastAsia="Calibri" w:hAnsi="Calibri" w:cs="Times New Roman"/>
          <w:lang w:val="en-ZA"/>
        </w:rPr>
        <w:t xml:space="preserve">any communication strategy </w:t>
      </w:r>
      <w:r w:rsidRPr="0087659C">
        <w:rPr>
          <w:rFonts w:ascii="Calibri" w:eastAsia="Calibri" w:hAnsi="Calibri" w:cs="Times New Roman"/>
          <w:lang w:val="en-ZA"/>
        </w:rPr>
        <w:t>is to keep it tightly focused and ensure that the messages it seeks to communicate are few and as simple as possible</w:t>
      </w:r>
      <w:r>
        <w:rPr>
          <w:rFonts w:ascii="Calibri" w:eastAsia="Calibri" w:hAnsi="Calibri" w:cs="Times New Roman"/>
          <w:lang w:val="en-ZA"/>
        </w:rPr>
        <w:t>.</w:t>
      </w:r>
    </w:p>
    <w:p w:rsidR="00DE039F" w:rsidRDefault="00DE039F" w:rsidP="00DE039F">
      <w:pPr>
        <w:rPr>
          <w:lang w:val="en-ZA"/>
        </w:rPr>
      </w:pPr>
    </w:p>
    <w:p w:rsidR="00DE039F" w:rsidRPr="00762300" w:rsidRDefault="00DE039F" w:rsidP="00DE039F">
      <w:pPr>
        <w:rPr>
          <w:rFonts w:ascii="Calibri" w:eastAsia="Calibri" w:hAnsi="Calibri" w:cs="Times New Roman"/>
          <w:lang w:val="en-ZA"/>
        </w:rPr>
      </w:pPr>
      <w:r w:rsidRPr="00AB28F0">
        <w:rPr>
          <w:lang w:val="en-ZA"/>
        </w:rPr>
        <w:t xml:space="preserve">As communication is so central to advocacy, it is necessary to remove some of the complexity and focus on a few, key messages. Consequently, the grid presented below does not aim to be comprehensive in presenting all of the possible messages that could be communicated to various target audiences. Instead, it seeks to distil from the analysis presented in the previous section those messages that are most essential to advancing </w:t>
      </w:r>
      <w:r>
        <w:rPr>
          <w:lang w:val="en-ZA"/>
        </w:rPr>
        <w:t>this communication and advocacy strategy</w:t>
      </w:r>
      <w:r w:rsidRPr="00AB28F0">
        <w:rPr>
          <w:lang w:val="en-ZA"/>
        </w:rPr>
        <w:t>.</w:t>
      </w:r>
    </w:p>
    <w:p w:rsidR="00DE039F" w:rsidRPr="00AB28F0" w:rsidRDefault="00DE039F" w:rsidP="00DE039F">
      <w:pPr>
        <w:rPr>
          <w:lang w:val="en-ZA"/>
        </w:rPr>
      </w:pPr>
    </w:p>
    <w:p w:rsidR="00DE039F" w:rsidRPr="00AB28F0" w:rsidRDefault="00DE039F" w:rsidP="00DE039F">
      <w:pPr>
        <w:pStyle w:val="TableReference"/>
        <w:rPr>
          <w:lang w:val="en-ZA"/>
        </w:rPr>
      </w:pPr>
      <w:bookmarkStart w:id="2" w:name="_Ref240689651"/>
      <w:r w:rsidRPr="00AB28F0">
        <w:rPr>
          <w:lang w:val="en-ZA"/>
        </w:rPr>
        <w:t>Key Messages By Target Audience</w:t>
      </w:r>
      <w:bookmarkEnd w:id="2"/>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943"/>
        <w:gridCol w:w="6299"/>
      </w:tblGrid>
      <w:tr w:rsidR="00DE039F" w:rsidRPr="00AB28F0" w:rsidTr="00F05FB7">
        <w:trPr>
          <w:tblHeader/>
        </w:trPr>
        <w:tc>
          <w:tcPr>
            <w:tcW w:w="2943" w:type="dxa"/>
            <w:tcBorders>
              <w:top w:val="single" w:sz="12" w:space="0" w:color="auto"/>
              <w:bottom w:val="single" w:sz="12" w:space="0" w:color="auto"/>
            </w:tcBorders>
          </w:tcPr>
          <w:p w:rsidR="00DE039F" w:rsidRPr="00AB28F0" w:rsidRDefault="00DE039F" w:rsidP="00F05FB7">
            <w:pPr>
              <w:jc w:val="center"/>
              <w:rPr>
                <w:b/>
                <w:lang w:val="en-ZA"/>
              </w:rPr>
            </w:pPr>
            <w:r w:rsidRPr="00AB28F0">
              <w:rPr>
                <w:b/>
                <w:lang w:val="en-ZA"/>
              </w:rPr>
              <w:t>Audience</w:t>
            </w:r>
          </w:p>
        </w:tc>
        <w:tc>
          <w:tcPr>
            <w:tcW w:w="6299" w:type="dxa"/>
            <w:tcBorders>
              <w:top w:val="single" w:sz="12" w:space="0" w:color="auto"/>
              <w:bottom w:val="single" w:sz="12" w:space="0" w:color="auto"/>
            </w:tcBorders>
          </w:tcPr>
          <w:p w:rsidR="00DE039F" w:rsidRPr="00AB28F0" w:rsidRDefault="00DE039F" w:rsidP="00F05FB7">
            <w:pPr>
              <w:jc w:val="center"/>
              <w:rPr>
                <w:b/>
                <w:lang w:val="en-ZA"/>
              </w:rPr>
            </w:pPr>
            <w:r w:rsidRPr="00AB28F0">
              <w:rPr>
                <w:b/>
                <w:lang w:val="en-ZA"/>
              </w:rPr>
              <w:t>Key Messages</w:t>
            </w:r>
          </w:p>
        </w:tc>
      </w:tr>
      <w:tr w:rsidR="00DE039F" w:rsidRPr="00AB28F0" w:rsidTr="00F05FB7">
        <w:tc>
          <w:tcPr>
            <w:tcW w:w="2943" w:type="dxa"/>
            <w:tcBorders>
              <w:top w:val="single" w:sz="12" w:space="0" w:color="auto"/>
            </w:tcBorders>
            <w:vAlign w:val="center"/>
          </w:tcPr>
          <w:p w:rsidR="00DE039F" w:rsidRPr="00AB28F0" w:rsidRDefault="00DE039F" w:rsidP="00F05FB7">
            <w:pPr>
              <w:jc w:val="left"/>
              <w:rPr>
                <w:lang w:val="en-ZA"/>
              </w:rPr>
            </w:pPr>
            <w:r>
              <w:rPr>
                <w:lang w:val="en-ZA"/>
              </w:rPr>
              <w:t>Policy Makers</w:t>
            </w:r>
            <w:r w:rsidR="006F5926">
              <w:rPr>
                <w:lang w:val="en-ZA"/>
              </w:rPr>
              <w:t xml:space="preserve"> (</w:t>
            </w:r>
            <w:proofErr w:type="spellStart"/>
            <w:r w:rsidR="006F5926">
              <w:rPr>
                <w:lang w:val="en-ZA"/>
              </w:rPr>
              <w:t>MoE</w:t>
            </w:r>
            <w:proofErr w:type="spellEnd"/>
            <w:r w:rsidR="006F5926">
              <w:rPr>
                <w:lang w:val="en-ZA"/>
              </w:rPr>
              <w:t xml:space="preserve"> Personnel)</w:t>
            </w:r>
          </w:p>
        </w:tc>
        <w:tc>
          <w:tcPr>
            <w:tcW w:w="6299" w:type="dxa"/>
            <w:tcBorders>
              <w:top w:val="single" w:sz="12" w:space="0" w:color="auto"/>
            </w:tcBorders>
            <w:vAlign w:val="center"/>
          </w:tcPr>
          <w:p w:rsidR="00661379" w:rsidRPr="00AB28F0" w:rsidRDefault="006F5926" w:rsidP="00F366B9">
            <w:pPr>
              <w:jc w:val="left"/>
              <w:rPr>
                <w:lang w:val="en-ZA"/>
              </w:rPr>
            </w:pPr>
            <w:r w:rsidRPr="00C2548D">
              <w:rPr>
                <w:lang w:val="en-ZA"/>
              </w:rPr>
              <w:t xml:space="preserve">Ministry of Education personnel at the national and regional levels </w:t>
            </w:r>
            <w:r w:rsidR="00F366B9">
              <w:rPr>
                <w:lang w:val="en-ZA"/>
              </w:rPr>
              <w:t xml:space="preserve">encourage the centralisation of education statistics from individual schools to the Ministry and </w:t>
            </w:r>
            <w:r w:rsidR="008757B6">
              <w:rPr>
                <w:lang w:val="en-ZA"/>
              </w:rPr>
              <w:t xml:space="preserve">play a key role in </w:t>
            </w:r>
            <w:r w:rsidRPr="00C2548D">
              <w:rPr>
                <w:lang w:val="en-ZA"/>
              </w:rPr>
              <w:t>supporting</w:t>
            </w:r>
            <w:r>
              <w:rPr>
                <w:lang w:val="en-ZA"/>
              </w:rPr>
              <w:t xml:space="preserve"> schools in their own uptake of ICT</w:t>
            </w:r>
            <w:r w:rsidR="00E4157A">
              <w:rPr>
                <w:lang w:val="en-ZA"/>
              </w:rPr>
              <w:t xml:space="preserve"> by </w:t>
            </w:r>
            <w:r w:rsidR="00233F03">
              <w:rPr>
                <w:lang w:val="en-ZA"/>
              </w:rPr>
              <w:t xml:space="preserve">establishing and implementing policies to provide basic </w:t>
            </w:r>
            <w:r w:rsidR="00661379" w:rsidRPr="00C2548D">
              <w:rPr>
                <w:lang w:val="en-ZA"/>
              </w:rPr>
              <w:t>infrastructure, technology access, connectivit</w:t>
            </w:r>
            <w:r w:rsidR="00E4157A">
              <w:rPr>
                <w:lang w:val="en-ZA"/>
              </w:rPr>
              <w:t>y access</w:t>
            </w:r>
            <w:r w:rsidR="00233F03">
              <w:rPr>
                <w:lang w:val="en-ZA"/>
              </w:rPr>
              <w:t>, digital content,</w:t>
            </w:r>
            <w:r w:rsidR="00E4157A">
              <w:rPr>
                <w:lang w:val="en-ZA"/>
              </w:rPr>
              <w:t xml:space="preserve"> teacher training</w:t>
            </w:r>
            <w:r w:rsidR="00233F03">
              <w:rPr>
                <w:lang w:val="en-ZA"/>
              </w:rPr>
              <w:t xml:space="preserve">, and </w:t>
            </w:r>
            <w:r w:rsidR="00F366B9">
              <w:rPr>
                <w:lang w:val="en-ZA"/>
              </w:rPr>
              <w:t>on-going</w:t>
            </w:r>
            <w:r w:rsidR="00233F03">
              <w:rPr>
                <w:lang w:val="en-ZA"/>
              </w:rPr>
              <w:t xml:space="preserve"> monitoring and evaluation</w:t>
            </w:r>
            <w:r w:rsidR="00E4157A">
              <w:rPr>
                <w:lang w:val="en-ZA"/>
              </w:rPr>
              <w:t xml:space="preserve">. </w:t>
            </w:r>
          </w:p>
        </w:tc>
      </w:tr>
      <w:tr w:rsidR="00DE039F" w:rsidRPr="00AB28F0" w:rsidTr="00F05FB7">
        <w:tc>
          <w:tcPr>
            <w:tcW w:w="2943" w:type="dxa"/>
            <w:vAlign w:val="center"/>
          </w:tcPr>
          <w:p w:rsidR="00DE039F" w:rsidRPr="00AB28F0" w:rsidRDefault="00DE039F" w:rsidP="00F05FB7">
            <w:pPr>
              <w:jc w:val="left"/>
              <w:rPr>
                <w:lang w:val="en-ZA"/>
              </w:rPr>
            </w:pPr>
            <w:r>
              <w:rPr>
                <w:lang w:val="en-ZA"/>
              </w:rPr>
              <w:t>Teacher Education Providers</w:t>
            </w:r>
          </w:p>
        </w:tc>
        <w:tc>
          <w:tcPr>
            <w:tcW w:w="6299" w:type="dxa"/>
            <w:vAlign w:val="center"/>
          </w:tcPr>
          <w:p w:rsidR="00DE039F" w:rsidRPr="008757B6" w:rsidRDefault="008757B6" w:rsidP="00233F03">
            <w:pPr>
              <w:jc w:val="left"/>
              <w:rPr>
                <w:szCs w:val="24"/>
                <w:lang w:val="en-ZA"/>
              </w:rPr>
            </w:pPr>
            <w:r>
              <w:rPr>
                <w:szCs w:val="24"/>
                <w:lang w:val="en-ZA"/>
              </w:rPr>
              <w:t>Teacher Education Providers</w:t>
            </w:r>
            <w:r w:rsidR="004976B7">
              <w:rPr>
                <w:szCs w:val="24"/>
                <w:lang w:val="en-ZA"/>
              </w:rPr>
              <w:t xml:space="preserve"> </w:t>
            </w:r>
            <w:r w:rsidR="00233F03">
              <w:rPr>
                <w:szCs w:val="24"/>
                <w:lang w:val="en-ZA"/>
              </w:rPr>
              <w:t>play</w:t>
            </w:r>
            <w:r>
              <w:rPr>
                <w:szCs w:val="24"/>
                <w:lang w:val="en-ZA"/>
              </w:rPr>
              <w:t xml:space="preserve"> </w:t>
            </w:r>
            <w:r w:rsidR="004976B7">
              <w:rPr>
                <w:szCs w:val="24"/>
                <w:lang w:val="en-ZA"/>
              </w:rPr>
              <w:t>a critical role in growth an</w:t>
            </w:r>
            <w:r>
              <w:rPr>
                <w:szCs w:val="24"/>
                <w:lang w:val="en-ZA"/>
              </w:rPr>
              <w:t xml:space="preserve">d </w:t>
            </w:r>
            <w:r>
              <w:rPr>
                <w:szCs w:val="24"/>
                <w:lang w:val="en-ZA"/>
              </w:rPr>
              <w:lastRenderedPageBreak/>
              <w:t xml:space="preserve">promotion of ICT in Education, helping to produce high quality graduates </w:t>
            </w:r>
            <w:r w:rsidR="00233F03">
              <w:rPr>
                <w:szCs w:val="24"/>
                <w:lang w:val="en-ZA"/>
              </w:rPr>
              <w:t xml:space="preserve">and in-service teachers who </w:t>
            </w:r>
            <w:r>
              <w:rPr>
                <w:szCs w:val="24"/>
                <w:lang w:val="en-ZA"/>
              </w:rPr>
              <w:t xml:space="preserve">are ICT literate and </w:t>
            </w:r>
            <w:r w:rsidR="00661379">
              <w:rPr>
                <w:szCs w:val="24"/>
                <w:lang w:val="en-ZA"/>
              </w:rPr>
              <w:t xml:space="preserve">are </w:t>
            </w:r>
            <w:r>
              <w:rPr>
                <w:szCs w:val="24"/>
                <w:lang w:val="en-ZA"/>
              </w:rPr>
              <w:t>able to integrate ICT into the curriculum effectively.</w:t>
            </w:r>
          </w:p>
        </w:tc>
      </w:tr>
      <w:tr w:rsidR="00DE039F" w:rsidRPr="00AB28F0" w:rsidTr="00F05FB7">
        <w:tc>
          <w:tcPr>
            <w:tcW w:w="2943" w:type="dxa"/>
            <w:vAlign w:val="center"/>
          </w:tcPr>
          <w:p w:rsidR="00DE039F" w:rsidRPr="00AB28F0" w:rsidRDefault="00DE039F" w:rsidP="00F05FB7">
            <w:pPr>
              <w:jc w:val="left"/>
              <w:rPr>
                <w:lang w:val="en-ZA"/>
              </w:rPr>
            </w:pPr>
            <w:r>
              <w:rPr>
                <w:lang w:val="en-ZA"/>
              </w:rPr>
              <w:lastRenderedPageBreak/>
              <w:t>School Management</w:t>
            </w:r>
            <w:r w:rsidR="006F5926">
              <w:rPr>
                <w:lang w:val="en-ZA"/>
              </w:rPr>
              <w:t xml:space="preserve"> (Principals, ICT Coordinators, ICT maintenance and Support)</w:t>
            </w:r>
          </w:p>
        </w:tc>
        <w:tc>
          <w:tcPr>
            <w:tcW w:w="6299" w:type="dxa"/>
            <w:vAlign w:val="center"/>
          </w:tcPr>
          <w:p w:rsidR="00DE039F" w:rsidRPr="00AB28F0" w:rsidRDefault="00661379" w:rsidP="00211287">
            <w:pPr>
              <w:jc w:val="left"/>
              <w:rPr>
                <w:lang w:val="en-ZA"/>
              </w:rPr>
            </w:pPr>
            <w:r>
              <w:rPr>
                <w:lang w:val="en-ZA"/>
              </w:rPr>
              <w:t>ICT Professional Development</w:t>
            </w:r>
            <w:r w:rsidR="00020A7C">
              <w:rPr>
                <w:lang w:val="en-ZA"/>
              </w:rPr>
              <w:t xml:space="preserve"> will </w:t>
            </w:r>
            <w:r>
              <w:rPr>
                <w:lang w:val="en-ZA"/>
              </w:rPr>
              <w:t xml:space="preserve">assist </w:t>
            </w:r>
            <w:r w:rsidR="00211287">
              <w:rPr>
                <w:lang w:val="en-ZA"/>
              </w:rPr>
              <w:t>school leaders to plan effective use of technology in their schools, perform</w:t>
            </w:r>
            <w:r>
              <w:rPr>
                <w:lang w:val="en-ZA"/>
              </w:rPr>
              <w:t xml:space="preserve"> time-consuming </w:t>
            </w:r>
            <w:r w:rsidR="006F5926" w:rsidRPr="00C2548D">
              <w:rPr>
                <w:lang w:val="en-ZA"/>
              </w:rPr>
              <w:t xml:space="preserve">administrative </w:t>
            </w:r>
            <w:r>
              <w:rPr>
                <w:lang w:val="en-ZA"/>
              </w:rPr>
              <w:t>and management tasks</w:t>
            </w:r>
            <w:r w:rsidR="00211287">
              <w:rPr>
                <w:lang w:val="en-ZA"/>
              </w:rPr>
              <w:t>,</w:t>
            </w:r>
            <w:r>
              <w:rPr>
                <w:lang w:val="en-ZA"/>
              </w:rPr>
              <w:t xml:space="preserve"> and</w:t>
            </w:r>
            <w:r w:rsidR="00211287">
              <w:rPr>
                <w:lang w:val="en-ZA"/>
              </w:rPr>
              <w:t xml:space="preserve"> equip</w:t>
            </w:r>
            <w:r w:rsidR="006F5926">
              <w:rPr>
                <w:lang w:val="en-ZA"/>
              </w:rPr>
              <w:t xml:space="preserve"> </w:t>
            </w:r>
            <w:r>
              <w:rPr>
                <w:lang w:val="en-ZA"/>
              </w:rPr>
              <w:t xml:space="preserve">them </w:t>
            </w:r>
            <w:r w:rsidR="006F5926">
              <w:rPr>
                <w:lang w:val="en-ZA"/>
              </w:rPr>
              <w:t xml:space="preserve">with the necessary communications and informational material to </w:t>
            </w:r>
            <w:r w:rsidR="00211287">
              <w:rPr>
                <w:lang w:val="en-ZA"/>
              </w:rPr>
              <w:t>the benefit of their school</w:t>
            </w:r>
            <w:r w:rsidR="006F5926">
              <w:rPr>
                <w:lang w:val="en-ZA"/>
              </w:rPr>
              <w:t>.</w:t>
            </w:r>
          </w:p>
        </w:tc>
      </w:tr>
      <w:tr w:rsidR="00DE039F" w:rsidRPr="00AB28F0" w:rsidTr="00F05FB7">
        <w:tc>
          <w:tcPr>
            <w:tcW w:w="2943" w:type="dxa"/>
            <w:vAlign w:val="center"/>
          </w:tcPr>
          <w:p w:rsidR="00DE039F" w:rsidRPr="00AB28F0" w:rsidRDefault="00DE039F" w:rsidP="00F05FB7">
            <w:pPr>
              <w:jc w:val="left"/>
              <w:rPr>
                <w:lang w:val="en-ZA"/>
              </w:rPr>
            </w:pPr>
            <w:r>
              <w:rPr>
                <w:lang w:val="en-ZA"/>
              </w:rPr>
              <w:t>Teachers</w:t>
            </w:r>
          </w:p>
        </w:tc>
        <w:tc>
          <w:tcPr>
            <w:tcW w:w="6299" w:type="dxa"/>
            <w:vAlign w:val="center"/>
          </w:tcPr>
          <w:p w:rsidR="00E4157A" w:rsidRPr="00E4157A" w:rsidRDefault="00F366B9" w:rsidP="00233F03">
            <w:pPr>
              <w:jc w:val="left"/>
              <w:rPr>
                <w:rFonts w:cs="Times New Roman"/>
                <w:lang w:val="quz-EC" w:eastAsia="quz-EC"/>
              </w:rPr>
            </w:pPr>
            <w:r>
              <w:rPr>
                <w:rFonts w:eastAsia="SimSun"/>
                <w:lang w:val="en-ZA" w:eastAsia="en-GB"/>
              </w:rPr>
              <w:t>O</w:t>
            </w:r>
            <w:r w:rsidRPr="00C2548D">
              <w:rPr>
                <w:rFonts w:eastAsia="SimSun"/>
                <w:lang w:val="en-ZA" w:eastAsia="en-GB"/>
              </w:rPr>
              <w:t>n</w:t>
            </w:r>
            <w:r>
              <w:rPr>
                <w:rFonts w:eastAsia="SimSun"/>
                <w:lang w:val="en-ZA" w:eastAsia="en-GB"/>
              </w:rPr>
              <w:t>-</w:t>
            </w:r>
            <w:r w:rsidRPr="00C2548D">
              <w:rPr>
                <w:rFonts w:eastAsia="SimSun"/>
                <w:lang w:val="en-ZA" w:eastAsia="en-GB"/>
              </w:rPr>
              <w:t xml:space="preserve">going teacher training and professional development </w:t>
            </w:r>
            <w:r>
              <w:rPr>
                <w:rFonts w:eastAsia="SimSun"/>
                <w:lang w:val="en-ZA" w:eastAsia="en-GB"/>
              </w:rPr>
              <w:t xml:space="preserve">in the use of ICT will help teachers improve technology skills </w:t>
            </w:r>
            <w:r>
              <w:rPr>
                <w:rStyle w:val="CommentReference"/>
              </w:rPr>
              <w:t/>
            </w:r>
            <w:r>
              <w:rPr>
                <w:rFonts w:eastAsia="SimSun"/>
                <w:lang w:val="en-ZA" w:eastAsia="en-GB"/>
              </w:rPr>
              <w:t xml:space="preserve">that </w:t>
            </w:r>
            <w:r>
              <w:t>impact positively when performing class administrative tasks, lesson preparation and practice, student support as well as allowing networking with like-minded teachers.</w:t>
            </w:r>
          </w:p>
        </w:tc>
      </w:tr>
      <w:tr w:rsidR="00661379" w:rsidRPr="00AB28F0" w:rsidTr="00F05FB7">
        <w:tc>
          <w:tcPr>
            <w:tcW w:w="2943" w:type="dxa"/>
            <w:vAlign w:val="center"/>
          </w:tcPr>
          <w:p w:rsidR="00661379" w:rsidRDefault="00661379" w:rsidP="00C02D70">
            <w:pPr>
              <w:jc w:val="left"/>
              <w:rPr>
                <w:lang w:val="en-ZA"/>
              </w:rPr>
            </w:pPr>
            <w:r>
              <w:rPr>
                <w:lang w:val="en-ZA"/>
              </w:rPr>
              <w:t>Students</w:t>
            </w:r>
            <w:r w:rsidR="005E2A99">
              <w:rPr>
                <w:lang w:val="en-ZA"/>
              </w:rPr>
              <w:t xml:space="preserve"> (Pre-Service teacher Students)</w:t>
            </w:r>
          </w:p>
        </w:tc>
        <w:tc>
          <w:tcPr>
            <w:tcW w:w="6299" w:type="dxa"/>
            <w:vAlign w:val="center"/>
          </w:tcPr>
          <w:p w:rsidR="00F366B9" w:rsidRPr="00F366B9" w:rsidRDefault="00F366B9" w:rsidP="005E2A99">
            <w:pPr>
              <w:pStyle w:val="CommentText"/>
              <w:jc w:val="left"/>
              <w:rPr>
                <w:sz w:val="22"/>
                <w:szCs w:val="22"/>
              </w:rPr>
            </w:pPr>
            <w:r>
              <w:rPr>
                <w:rStyle w:val="CommentReference"/>
              </w:rPr>
              <w:t/>
            </w:r>
            <w:r w:rsidRPr="00F366B9">
              <w:rPr>
                <w:sz w:val="22"/>
                <w:szCs w:val="22"/>
              </w:rPr>
              <w:t>The benefits to students of using ICTs as a component of scholarship over and above traditional methods include:</w:t>
            </w:r>
          </w:p>
          <w:p w:rsidR="00F366B9" w:rsidRPr="00F366B9" w:rsidRDefault="00F366B9" w:rsidP="005E2A99">
            <w:pPr>
              <w:pStyle w:val="CommentText"/>
              <w:numPr>
                <w:ilvl w:val="0"/>
                <w:numId w:val="21"/>
              </w:numPr>
              <w:jc w:val="left"/>
              <w:rPr>
                <w:sz w:val="22"/>
                <w:szCs w:val="22"/>
              </w:rPr>
            </w:pPr>
            <w:r w:rsidRPr="00F366B9">
              <w:rPr>
                <w:sz w:val="22"/>
                <w:szCs w:val="22"/>
              </w:rPr>
              <w:t xml:space="preserve"> Provision of a set of powerful tools that can be used to encourage higher order thinking skills.</w:t>
            </w:r>
          </w:p>
          <w:p w:rsidR="00F366B9" w:rsidRPr="00F366B9" w:rsidRDefault="00F366B9" w:rsidP="005E2A99">
            <w:pPr>
              <w:pStyle w:val="CommentText"/>
              <w:numPr>
                <w:ilvl w:val="0"/>
                <w:numId w:val="21"/>
              </w:numPr>
              <w:jc w:val="left"/>
              <w:rPr>
                <w:sz w:val="22"/>
                <w:szCs w:val="22"/>
              </w:rPr>
            </w:pPr>
            <w:r w:rsidRPr="00F366B9">
              <w:rPr>
                <w:sz w:val="22"/>
                <w:szCs w:val="22"/>
              </w:rPr>
              <w:t xml:space="preserve"> Provision of speedy channels of communication to link peers, teachers and external experts.</w:t>
            </w:r>
          </w:p>
          <w:p w:rsidR="00F366B9" w:rsidRPr="00F366B9" w:rsidRDefault="00F366B9" w:rsidP="005E2A99">
            <w:pPr>
              <w:pStyle w:val="CommentText"/>
              <w:numPr>
                <w:ilvl w:val="0"/>
                <w:numId w:val="21"/>
              </w:numPr>
              <w:jc w:val="left"/>
              <w:rPr>
                <w:sz w:val="22"/>
                <w:szCs w:val="22"/>
              </w:rPr>
            </w:pPr>
            <w:r w:rsidRPr="00F366B9">
              <w:rPr>
                <w:sz w:val="22"/>
                <w:szCs w:val="22"/>
              </w:rPr>
              <w:t xml:space="preserve"> Provision of current, accurate information and data often not available in traditional libraries</w:t>
            </w:r>
            <w:r w:rsidR="005E2A99">
              <w:rPr>
                <w:sz w:val="22"/>
                <w:szCs w:val="22"/>
              </w:rPr>
              <w:t>.</w:t>
            </w:r>
          </w:p>
          <w:p w:rsidR="00661379" w:rsidRPr="00F366B9" w:rsidRDefault="00F366B9" w:rsidP="005E2A99">
            <w:pPr>
              <w:pStyle w:val="CommentText"/>
              <w:numPr>
                <w:ilvl w:val="0"/>
                <w:numId w:val="21"/>
              </w:numPr>
              <w:jc w:val="left"/>
            </w:pPr>
            <w:r w:rsidRPr="00F366B9">
              <w:rPr>
                <w:sz w:val="22"/>
                <w:szCs w:val="22"/>
              </w:rPr>
              <w:t xml:space="preserve"> ‘Soft’ skills are transferable and are often required extensively in the workplace.</w:t>
            </w:r>
          </w:p>
        </w:tc>
      </w:tr>
      <w:tr w:rsidR="005E2A99" w:rsidRPr="00AB28F0" w:rsidTr="00F05FB7">
        <w:tc>
          <w:tcPr>
            <w:tcW w:w="2943" w:type="dxa"/>
            <w:vAlign w:val="center"/>
          </w:tcPr>
          <w:p w:rsidR="005E2A99" w:rsidRDefault="005E2A99" w:rsidP="00C02D70">
            <w:pPr>
              <w:jc w:val="left"/>
              <w:rPr>
                <w:lang w:val="en-ZA"/>
              </w:rPr>
            </w:pPr>
            <w:r>
              <w:rPr>
                <w:lang w:val="en-ZA"/>
              </w:rPr>
              <w:t>School Learners</w:t>
            </w:r>
          </w:p>
        </w:tc>
        <w:tc>
          <w:tcPr>
            <w:tcW w:w="6299" w:type="dxa"/>
            <w:vAlign w:val="center"/>
          </w:tcPr>
          <w:p w:rsidR="005E2A99" w:rsidRPr="00F061BB" w:rsidRDefault="00F061BB" w:rsidP="00F061BB">
            <w:pPr>
              <w:pStyle w:val="CommentText"/>
              <w:jc w:val="left"/>
              <w:rPr>
                <w:rStyle w:val="CommentReference"/>
                <w:sz w:val="22"/>
                <w:szCs w:val="22"/>
              </w:rPr>
            </w:pPr>
            <w:r w:rsidRPr="00F061BB">
              <w:rPr>
                <w:sz w:val="22"/>
                <w:szCs w:val="22"/>
              </w:rPr>
              <w:t>B</w:t>
            </w:r>
            <w:r w:rsidR="005E2A99" w:rsidRPr="00F061BB">
              <w:rPr>
                <w:sz w:val="22"/>
                <w:szCs w:val="22"/>
              </w:rPr>
              <w:t xml:space="preserve">enefits </w:t>
            </w:r>
            <w:r w:rsidRPr="00F061BB">
              <w:rPr>
                <w:sz w:val="22"/>
                <w:szCs w:val="22"/>
              </w:rPr>
              <w:t xml:space="preserve">of ICT to learners </w:t>
            </w:r>
            <w:r w:rsidR="005E2A99" w:rsidRPr="00F061BB">
              <w:rPr>
                <w:sz w:val="22"/>
                <w:szCs w:val="22"/>
              </w:rPr>
              <w:t xml:space="preserve">include increased productivity, professional presentation of </w:t>
            </w:r>
            <w:r w:rsidRPr="00F061BB">
              <w:rPr>
                <w:sz w:val="22"/>
                <w:szCs w:val="22"/>
              </w:rPr>
              <w:t xml:space="preserve">work </w:t>
            </w:r>
            <w:r w:rsidR="005E2A99" w:rsidRPr="00F061BB">
              <w:rPr>
                <w:sz w:val="22"/>
                <w:szCs w:val="22"/>
              </w:rPr>
              <w:t>and an</w:t>
            </w:r>
            <w:r w:rsidRPr="00F061BB">
              <w:rPr>
                <w:sz w:val="22"/>
                <w:szCs w:val="22"/>
              </w:rPr>
              <w:t xml:space="preserve"> enriched learning environment. </w:t>
            </w:r>
            <w:r>
              <w:rPr>
                <w:sz w:val="22"/>
                <w:szCs w:val="22"/>
              </w:rPr>
              <w:t xml:space="preserve">In addition to this, </w:t>
            </w:r>
            <w:r w:rsidRPr="00F061BB">
              <w:rPr>
                <w:sz w:val="22"/>
                <w:szCs w:val="22"/>
              </w:rPr>
              <w:t xml:space="preserve">wider </w:t>
            </w:r>
            <w:r w:rsidR="005E2A99" w:rsidRPr="00F061BB">
              <w:rPr>
                <w:sz w:val="22"/>
                <w:szCs w:val="22"/>
              </w:rPr>
              <w:t>positive benefits o</w:t>
            </w:r>
            <w:r w:rsidRPr="00F061BB">
              <w:rPr>
                <w:sz w:val="22"/>
                <w:szCs w:val="22"/>
              </w:rPr>
              <w:t xml:space="preserve">f ICT on learning and learners include </w:t>
            </w:r>
            <w:r w:rsidR="005E2A99" w:rsidRPr="00F061BB">
              <w:rPr>
                <w:sz w:val="22"/>
                <w:szCs w:val="22"/>
              </w:rPr>
              <w:t>motivation and skills, concentration, cognitive processing, independent learning, critical thinking and teamwork</w:t>
            </w:r>
            <w:r w:rsidRPr="00F061BB">
              <w:rPr>
                <w:sz w:val="22"/>
                <w:szCs w:val="22"/>
              </w:rPr>
              <w:t>.</w:t>
            </w:r>
          </w:p>
        </w:tc>
      </w:tr>
      <w:tr w:rsidR="005E2A99" w:rsidRPr="00AB28F0" w:rsidTr="00F05FB7">
        <w:tc>
          <w:tcPr>
            <w:tcW w:w="2943" w:type="dxa"/>
            <w:vAlign w:val="center"/>
          </w:tcPr>
          <w:p w:rsidR="005E2A99" w:rsidRDefault="005E2A99" w:rsidP="00C02D70">
            <w:pPr>
              <w:jc w:val="left"/>
              <w:rPr>
                <w:lang w:val="en-ZA"/>
              </w:rPr>
            </w:pPr>
            <w:r>
              <w:rPr>
                <w:lang w:val="en-ZA"/>
              </w:rPr>
              <w:t>Parents</w:t>
            </w:r>
          </w:p>
        </w:tc>
        <w:tc>
          <w:tcPr>
            <w:tcW w:w="6299" w:type="dxa"/>
            <w:vAlign w:val="center"/>
          </w:tcPr>
          <w:p w:rsidR="005E2A99" w:rsidRPr="00F02125" w:rsidRDefault="00BB60AD" w:rsidP="00BB60AD">
            <w:pPr>
              <w:autoSpaceDE w:val="0"/>
              <w:autoSpaceDN w:val="0"/>
              <w:adjustRightInd w:val="0"/>
              <w:jc w:val="left"/>
              <w:rPr>
                <w:rStyle w:val="CommentReference"/>
                <w:rFonts w:eastAsia="Times New Roman" w:cstheme="minorHAnsi"/>
                <w:sz w:val="22"/>
                <w:szCs w:val="22"/>
                <w:lang w:val="quz-EC"/>
              </w:rPr>
            </w:pPr>
            <w:r w:rsidRPr="00BB60AD">
              <w:rPr>
                <w:rFonts w:eastAsia="Times New Roman" w:cstheme="minorHAnsi"/>
                <w:lang w:val="quz-EC"/>
              </w:rPr>
              <w:t>Parents equipped with the necessary ICT skills and knowledge are better prepared to teach their children how to be sa</w:t>
            </w:r>
            <w:r>
              <w:rPr>
                <w:rFonts w:eastAsia="Times New Roman" w:cstheme="minorHAnsi"/>
                <w:lang w:val="quz-EC"/>
              </w:rPr>
              <w:t xml:space="preserve">fe online so they can have fun, </w:t>
            </w:r>
            <w:r w:rsidRPr="00BB60AD">
              <w:rPr>
                <w:rFonts w:eastAsia="Times New Roman" w:cstheme="minorHAnsi"/>
                <w:lang w:val="quz-EC"/>
              </w:rPr>
              <w:t xml:space="preserve">enjoy creative aspects and benefit from </w:t>
            </w:r>
            <w:r w:rsidR="00191455">
              <w:rPr>
                <w:rFonts w:eastAsia="Times New Roman" w:cstheme="minorHAnsi"/>
                <w:lang w:val="quz-EC"/>
              </w:rPr>
              <w:t>learning opportunities as well.</w:t>
            </w:r>
          </w:p>
        </w:tc>
      </w:tr>
    </w:tbl>
    <w:p w:rsidR="00FD54B7" w:rsidRPr="0087659C" w:rsidRDefault="0087659C" w:rsidP="008A4084">
      <w:pPr>
        <w:pStyle w:val="Heading2"/>
        <w:rPr>
          <w:lang w:val="en-ZA"/>
        </w:rPr>
      </w:pPr>
      <w:r>
        <w:rPr>
          <w:lang w:val="en-ZA"/>
        </w:rPr>
        <w:t>Potential Advocacy and Communication Activities</w:t>
      </w:r>
    </w:p>
    <w:p w:rsidR="00DE039F" w:rsidRPr="00AD6340" w:rsidRDefault="00DE039F" w:rsidP="008A4084">
      <w:pPr>
        <w:rPr>
          <w:lang w:val="en-ZA"/>
        </w:rPr>
      </w:pPr>
      <w:r w:rsidRPr="00AB28F0">
        <w:rPr>
          <w:lang w:val="en-ZA"/>
        </w:rPr>
        <w:t xml:space="preserve">Having analysed key audiences and the key messages that need to be communicated to them, it is possible to review different activities that could form part of the </w:t>
      </w:r>
      <w:r>
        <w:rPr>
          <w:lang w:val="en-ZA"/>
        </w:rPr>
        <w:t>Guyana Communications and Advocacy</w:t>
      </w:r>
      <w:r w:rsidRPr="00AB28F0">
        <w:rPr>
          <w:lang w:val="en-ZA"/>
        </w:rPr>
        <w:t xml:space="preserve"> Strategy. </w:t>
      </w:r>
      <w:r w:rsidR="00AD6340">
        <w:rPr>
          <w:lang w:val="en-ZA"/>
        </w:rPr>
        <w:t xml:space="preserve"> </w:t>
      </w:r>
      <w:r w:rsidRPr="00AB28F0">
        <w:rPr>
          <w:lang w:val="en-ZA"/>
        </w:rPr>
        <w:t xml:space="preserve">In order to determine where </w:t>
      </w:r>
      <w:r w:rsidR="00AD6340">
        <w:rPr>
          <w:lang w:val="en-ZA"/>
        </w:rPr>
        <w:t>Guyana</w:t>
      </w:r>
      <w:r w:rsidRPr="00AB28F0">
        <w:rPr>
          <w:lang w:val="en-ZA"/>
        </w:rPr>
        <w:t xml:space="preserve"> should focus its effort and investment, it is first worth analysing all potential advocacy and </w:t>
      </w:r>
      <w:r w:rsidR="00454B76">
        <w:rPr>
          <w:lang w:val="en-ZA"/>
        </w:rPr>
        <w:t>communication</w:t>
      </w:r>
      <w:r w:rsidRPr="00AB28F0">
        <w:rPr>
          <w:lang w:val="en-ZA"/>
        </w:rPr>
        <w:t xml:space="preserve"> activities, in order to understand what function they might fulfil within the context of the </w:t>
      </w:r>
      <w:r w:rsidR="00AD6340">
        <w:rPr>
          <w:lang w:val="en-ZA"/>
        </w:rPr>
        <w:t>Guyana Communications and Advocacy</w:t>
      </w:r>
      <w:r w:rsidR="00AD6340" w:rsidRPr="00AB28F0">
        <w:rPr>
          <w:lang w:val="en-ZA"/>
        </w:rPr>
        <w:t xml:space="preserve"> Strategy</w:t>
      </w:r>
      <w:r w:rsidRPr="00AB28F0">
        <w:rPr>
          <w:lang w:val="en-ZA"/>
        </w:rPr>
        <w:t>.</w:t>
      </w:r>
    </w:p>
    <w:p w:rsidR="00121560" w:rsidRPr="00121560" w:rsidRDefault="00121560" w:rsidP="00FD54B7">
      <w:pPr>
        <w:rPr>
          <w:lang w:val="en-ZA"/>
        </w:rPr>
      </w:pPr>
    </w:p>
    <w:p w:rsidR="00A075AD" w:rsidRDefault="00FD54B7" w:rsidP="003915A1">
      <w:pPr>
        <w:numPr>
          <w:ilvl w:val="0"/>
          <w:numId w:val="2"/>
        </w:numPr>
        <w:rPr>
          <w:rFonts w:ascii="Calibri" w:eastAsia="Calibri" w:hAnsi="Calibri" w:cs="Times New Roman"/>
          <w:i/>
          <w:lang w:val="en-ZA"/>
        </w:rPr>
      </w:pPr>
      <w:bookmarkStart w:id="3" w:name="_Ref240614515"/>
      <w:r w:rsidRPr="00450686">
        <w:rPr>
          <w:rFonts w:ascii="Calibri" w:eastAsia="Calibri" w:hAnsi="Calibri" w:cs="Times New Roman"/>
          <w:i/>
          <w:lang w:val="en-ZA"/>
        </w:rPr>
        <w:t xml:space="preserve">Potential Advocacy and </w:t>
      </w:r>
      <w:r w:rsidR="00FF3150">
        <w:rPr>
          <w:rFonts w:ascii="Calibri" w:eastAsia="Calibri" w:hAnsi="Calibri" w:cs="Times New Roman"/>
          <w:i/>
          <w:lang w:val="en-ZA"/>
        </w:rPr>
        <w:t xml:space="preserve">Communication </w:t>
      </w:r>
      <w:r w:rsidRPr="00450686">
        <w:rPr>
          <w:rFonts w:ascii="Calibri" w:eastAsia="Calibri" w:hAnsi="Calibri" w:cs="Times New Roman"/>
          <w:i/>
          <w:lang w:val="en-ZA"/>
        </w:rPr>
        <w:t>Activities</w:t>
      </w:r>
      <w:bookmarkEnd w:id="3"/>
    </w:p>
    <w:p w:rsidR="00EB1640" w:rsidRPr="00EB1640" w:rsidRDefault="00EB1640" w:rsidP="00EB1640">
      <w:pPr>
        <w:rPr>
          <w:rFonts w:ascii="Calibri" w:eastAsia="Calibri" w:hAnsi="Calibri" w:cs="Times New Roman"/>
          <w:i/>
          <w:lang w:val="en-ZA"/>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998"/>
        <w:gridCol w:w="3623"/>
        <w:gridCol w:w="3621"/>
      </w:tblGrid>
      <w:tr w:rsidR="00BB60AD" w:rsidRPr="00F15DFF" w:rsidTr="00191455">
        <w:trPr>
          <w:tblHeader/>
        </w:trPr>
        <w:tc>
          <w:tcPr>
            <w:tcW w:w="1081" w:type="pct"/>
            <w:tcBorders>
              <w:top w:val="single" w:sz="12" w:space="0" w:color="auto"/>
              <w:bottom w:val="single" w:sz="12" w:space="0" w:color="auto"/>
            </w:tcBorders>
            <w:vAlign w:val="center"/>
          </w:tcPr>
          <w:p w:rsidR="00BB60AD" w:rsidRPr="00F15DFF" w:rsidRDefault="00BB60AD" w:rsidP="00FD54B7">
            <w:pPr>
              <w:rPr>
                <w:rFonts w:ascii="Calibri" w:eastAsia="Calibri" w:hAnsi="Calibri" w:cs="Times New Roman"/>
                <w:b/>
                <w:lang w:val="en-ZA"/>
              </w:rPr>
            </w:pPr>
            <w:r w:rsidRPr="00F15DFF">
              <w:rPr>
                <w:rFonts w:ascii="Calibri" w:eastAsia="Calibri" w:hAnsi="Calibri" w:cs="Times New Roman"/>
                <w:b/>
                <w:lang w:val="en-ZA"/>
              </w:rPr>
              <w:t>Potential Activities</w:t>
            </w:r>
          </w:p>
        </w:tc>
        <w:tc>
          <w:tcPr>
            <w:tcW w:w="1960" w:type="pct"/>
            <w:tcBorders>
              <w:top w:val="single" w:sz="12" w:space="0" w:color="auto"/>
              <w:bottom w:val="single" w:sz="12" w:space="0" w:color="auto"/>
            </w:tcBorders>
            <w:vAlign w:val="center"/>
          </w:tcPr>
          <w:p w:rsidR="00BB60AD" w:rsidRPr="00F15DFF" w:rsidRDefault="00BB60AD" w:rsidP="00FD54B7">
            <w:pPr>
              <w:rPr>
                <w:rFonts w:ascii="Calibri" w:eastAsia="Calibri" w:hAnsi="Calibri" w:cs="Times New Roman"/>
                <w:b/>
                <w:lang w:val="en-ZA"/>
              </w:rPr>
            </w:pPr>
            <w:r w:rsidRPr="00F15DFF">
              <w:rPr>
                <w:rFonts w:ascii="Calibri" w:eastAsia="Calibri" w:hAnsi="Calibri" w:cs="Times New Roman"/>
                <w:b/>
                <w:lang w:val="en-ZA"/>
              </w:rPr>
              <w:t>Description</w:t>
            </w:r>
          </w:p>
        </w:tc>
        <w:tc>
          <w:tcPr>
            <w:tcW w:w="1959" w:type="pct"/>
            <w:tcBorders>
              <w:top w:val="single" w:sz="12" w:space="0" w:color="auto"/>
              <w:bottom w:val="single" w:sz="12" w:space="0" w:color="auto"/>
            </w:tcBorders>
          </w:tcPr>
          <w:p w:rsidR="00BB60AD" w:rsidRPr="00F15DFF" w:rsidRDefault="00BB60AD" w:rsidP="00BB60AD">
            <w:pPr>
              <w:jc w:val="left"/>
              <w:rPr>
                <w:rFonts w:ascii="Calibri" w:eastAsia="Calibri" w:hAnsi="Calibri" w:cs="Times New Roman"/>
                <w:b/>
                <w:lang w:val="en-ZA"/>
              </w:rPr>
            </w:pPr>
            <w:r>
              <w:rPr>
                <w:rFonts w:ascii="Calibri" w:eastAsia="Calibri" w:hAnsi="Calibri" w:cs="Times New Roman"/>
                <w:b/>
                <w:lang w:val="en-ZA"/>
              </w:rPr>
              <w:t>Use of Potential Activities outside Guyana</w:t>
            </w:r>
          </w:p>
        </w:tc>
      </w:tr>
      <w:tr w:rsidR="00191455" w:rsidRPr="00F15DFF" w:rsidTr="00191455">
        <w:tc>
          <w:tcPr>
            <w:tcW w:w="5000" w:type="pct"/>
            <w:gridSpan w:val="3"/>
            <w:tcBorders>
              <w:top w:val="single" w:sz="12" w:space="0" w:color="auto"/>
            </w:tcBorders>
            <w:vAlign w:val="center"/>
          </w:tcPr>
          <w:p w:rsidR="00191455" w:rsidRPr="00DC5E31" w:rsidRDefault="00191455" w:rsidP="00BB60AD">
            <w:pPr>
              <w:rPr>
                <w:rFonts w:ascii="Calibri" w:eastAsia="Calibri" w:hAnsi="Calibri" w:cs="Times New Roman"/>
                <w:b/>
                <w:i/>
                <w:lang w:val="en-ZA"/>
              </w:rPr>
            </w:pPr>
            <w:r w:rsidRPr="00DC5E31">
              <w:rPr>
                <w:rFonts w:ascii="Calibri" w:eastAsia="Calibri" w:hAnsi="Calibri" w:cs="Times New Roman"/>
                <w:b/>
                <w:i/>
                <w:lang w:val="en-ZA"/>
              </w:rPr>
              <w:t>Push Strategies</w:t>
            </w:r>
          </w:p>
        </w:tc>
      </w:tr>
      <w:tr w:rsidR="00BB60AD" w:rsidRPr="00F15DFF" w:rsidTr="00191455">
        <w:tc>
          <w:tcPr>
            <w:tcW w:w="3041" w:type="pct"/>
            <w:gridSpan w:val="2"/>
            <w:tcBorders>
              <w:top w:val="single" w:sz="12" w:space="0" w:color="auto"/>
            </w:tcBorders>
            <w:vAlign w:val="center"/>
          </w:tcPr>
          <w:p w:rsidR="00BB60AD" w:rsidRPr="00F15DFF" w:rsidRDefault="00BB60AD" w:rsidP="003915A1">
            <w:pPr>
              <w:numPr>
                <w:ilvl w:val="0"/>
                <w:numId w:val="4"/>
              </w:numPr>
              <w:rPr>
                <w:rFonts w:ascii="Calibri" w:eastAsia="Calibri" w:hAnsi="Calibri" w:cs="Times New Roman"/>
                <w:lang w:val="en-ZA"/>
              </w:rPr>
            </w:pPr>
            <w:r w:rsidRPr="00F15DFF">
              <w:rPr>
                <w:rFonts w:ascii="Calibri" w:eastAsia="Calibri" w:hAnsi="Calibri" w:cs="Times New Roman"/>
                <w:i/>
                <w:lang w:val="en-ZA"/>
              </w:rPr>
              <w:lastRenderedPageBreak/>
              <w:t>Face-to-Face Interactions</w:t>
            </w:r>
          </w:p>
        </w:tc>
        <w:tc>
          <w:tcPr>
            <w:tcW w:w="1959" w:type="pct"/>
            <w:tcBorders>
              <w:top w:val="single" w:sz="12" w:space="0" w:color="auto"/>
            </w:tcBorders>
          </w:tcPr>
          <w:p w:rsidR="00BB60AD" w:rsidRPr="00F15DFF" w:rsidRDefault="00BB60AD" w:rsidP="00BB60AD">
            <w:pPr>
              <w:rPr>
                <w:rFonts w:ascii="Calibri" w:eastAsia="Calibri" w:hAnsi="Calibri" w:cs="Times New Roman"/>
                <w:i/>
                <w:lang w:val="en-ZA"/>
              </w:rPr>
            </w:pPr>
          </w:p>
        </w:tc>
      </w:tr>
      <w:tr w:rsidR="00BB60AD" w:rsidRPr="00F15DFF" w:rsidTr="00191455">
        <w:tc>
          <w:tcPr>
            <w:tcW w:w="1081" w:type="pct"/>
            <w:vAlign w:val="center"/>
          </w:tcPr>
          <w:p w:rsidR="00BB60AD" w:rsidRPr="00F15DFF" w:rsidRDefault="00BB60AD" w:rsidP="004D58F1">
            <w:pPr>
              <w:numPr>
                <w:ilvl w:val="1"/>
                <w:numId w:val="4"/>
              </w:numPr>
              <w:jc w:val="left"/>
              <w:rPr>
                <w:rFonts w:ascii="Calibri" w:eastAsia="Calibri" w:hAnsi="Calibri" w:cs="Times New Roman"/>
                <w:lang w:val="en-ZA"/>
              </w:rPr>
            </w:pPr>
            <w:r>
              <w:rPr>
                <w:rFonts w:ascii="Calibri" w:eastAsia="Calibri" w:hAnsi="Calibri" w:cs="Times New Roman"/>
                <w:lang w:val="en-ZA"/>
              </w:rPr>
              <w:t xml:space="preserve">Showcasing </w:t>
            </w:r>
            <w:proofErr w:type="spellStart"/>
            <w:r>
              <w:rPr>
                <w:rFonts w:ascii="Calibri" w:eastAsia="Calibri" w:hAnsi="Calibri" w:cs="Times New Roman"/>
                <w:lang w:val="en-ZA"/>
              </w:rPr>
              <w:t>roadshows</w:t>
            </w:r>
            <w:proofErr w:type="spellEnd"/>
            <w:r>
              <w:rPr>
                <w:rFonts w:ascii="Calibri" w:eastAsia="Calibri" w:hAnsi="Calibri" w:cs="Times New Roman"/>
                <w:lang w:val="en-ZA"/>
              </w:rPr>
              <w:t xml:space="preserve"> </w:t>
            </w:r>
          </w:p>
        </w:tc>
        <w:tc>
          <w:tcPr>
            <w:tcW w:w="1960" w:type="pct"/>
            <w:vAlign w:val="center"/>
          </w:tcPr>
          <w:p w:rsidR="00BB60AD" w:rsidRPr="00F15DFF" w:rsidRDefault="00BB60AD" w:rsidP="00F05FB7">
            <w:pPr>
              <w:rPr>
                <w:rFonts w:ascii="Calibri" w:eastAsia="Calibri" w:hAnsi="Calibri" w:cs="Times New Roman"/>
                <w:lang w:val="en-ZA"/>
              </w:rPr>
            </w:pPr>
            <w:r w:rsidRPr="00F15DFF">
              <w:rPr>
                <w:rFonts w:ascii="Calibri" w:eastAsia="Calibri" w:hAnsi="Calibri" w:cs="Times New Roman"/>
                <w:lang w:val="en-ZA"/>
              </w:rPr>
              <w:t xml:space="preserve">These </w:t>
            </w:r>
            <w:r>
              <w:rPr>
                <w:rFonts w:ascii="Calibri" w:eastAsia="Calibri" w:hAnsi="Calibri" w:cs="Times New Roman"/>
                <w:lang w:val="en-ZA"/>
              </w:rPr>
              <w:t>road shows</w:t>
            </w:r>
            <w:r w:rsidRPr="00F15DFF">
              <w:rPr>
                <w:rFonts w:ascii="Calibri" w:eastAsia="Calibri" w:hAnsi="Calibri" w:cs="Times New Roman"/>
                <w:lang w:val="en-ZA"/>
              </w:rPr>
              <w:t xml:space="preserve"> should generally be organized by institutions as part of th</w:t>
            </w:r>
            <w:r>
              <w:rPr>
                <w:rFonts w:ascii="Calibri" w:eastAsia="Calibri" w:hAnsi="Calibri" w:cs="Times New Roman"/>
                <w:lang w:val="en-ZA"/>
              </w:rPr>
              <w:t xml:space="preserve">eir overall marketing strategy and will highlight the importance of the integration of ICT in Education. </w:t>
            </w:r>
            <w:r w:rsidRPr="00F15DFF">
              <w:rPr>
                <w:rFonts w:ascii="Calibri" w:eastAsia="Calibri" w:hAnsi="Calibri" w:cs="Times New Roman"/>
                <w:lang w:val="en-ZA"/>
              </w:rPr>
              <w:t xml:space="preserve">It may be that national Ministries of Education might </w:t>
            </w:r>
            <w:r>
              <w:rPr>
                <w:rFonts w:ascii="Calibri" w:eastAsia="Calibri" w:hAnsi="Calibri" w:cs="Times New Roman"/>
                <w:lang w:val="en-ZA"/>
              </w:rPr>
              <w:t xml:space="preserve">also </w:t>
            </w:r>
            <w:r w:rsidRPr="00F15DFF">
              <w:rPr>
                <w:rFonts w:ascii="Calibri" w:eastAsia="Calibri" w:hAnsi="Calibri" w:cs="Times New Roman"/>
                <w:lang w:val="en-ZA"/>
              </w:rPr>
              <w:t xml:space="preserve">participate in such </w:t>
            </w:r>
            <w:r>
              <w:rPr>
                <w:rFonts w:ascii="Calibri" w:eastAsia="Calibri" w:hAnsi="Calibri" w:cs="Times New Roman"/>
                <w:lang w:val="en-ZA"/>
              </w:rPr>
              <w:t>activities.</w:t>
            </w:r>
          </w:p>
        </w:tc>
        <w:tc>
          <w:tcPr>
            <w:tcW w:w="1959" w:type="pct"/>
          </w:tcPr>
          <w:p w:rsidR="00BB60AD" w:rsidRPr="00DF67C1" w:rsidRDefault="00DC5E31" w:rsidP="00DF67C1">
            <w:pPr>
              <w:jc w:val="left"/>
              <w:rPr>
                <w:lang w:val="en-ZA"/>
              </w:rPr>
            </w:pPr>
            <w:r w:rsidRPr="00DC5E31">
              <w:rPr>
                <w:i/>
                <w:lang w:val="en-ZA"/>
              </w:rPr>
              <w:t xml:space="preserve">Strategic meetings, discussion and engagement with Ministries of Education and </w:t>
            </w:r>
            <w:r w:rsidRPr="00DC5E31">
              <w:rPr>
                <w:szCs w:val="24"/>
                <w:lang w:val="en-ZA"/>
              </w:rPr>
              <w:t>key Teacher Education Providers in neighbouring countries</w:t>
            </w:r>
            <w:r w:rsidRPr="00DC5E31">
              <w:rPr>
                <w:lang w:val="en-ZA"/>
              </w:rPr>
              <w:t xml:space="preserve"> to </w:t>
            </w:r>
            <w:r w:rsidRPr="00DC5E31">
              <w:rPr>
                <w:szCs w:val="24"/>
                <w:lang w:val="en-ZA"/>
              </w:rPr>
              <w:t>communicate success of Guyana ICT in Education Initiative and discuss scenarios for replication.</w:t>
            </w:r>
          </w:p>
        </w:tc>
      </w:tr>
      <w:tr w:rsidR="00BB60AD" w:rsidRPr="00F15DFF" w:rsidTr="00191455">
        <w:tc>
          <w:tcPr>
            <w:tcW w:w="1081" w:type="pct"/>
            <w:vAlign w:val="center"/>
          </w:tcPr>
          <w:p w:rsidR="00BB60AD" w:rsidRPr="00F15DFF" w:rsidRDefault="00BB60AD" w:rsidP="003915A1">
            <w:pPr>
              <w:numPr>
                <w:ilvl w:val="1"/>
                <w:numId w:val="4"/>
              </w:numPr>
              <w:jc w:val="left"/>
              <w:rPr>
                <w:rFonts w:ascii="Calibri" w:eastAsia="Calibri" w:hAnsi="Calibri" w:cs="Times New Roman"/>
                <w:lang w:val="en-ZA"/>
              </w:rPr>
            </w:pPr>
            <w:r>
              <w:rPr>
                <w:rFonts w:ascii="Calibri" w:eastAsia="Calibri" w:hAnsi="Calibri" w:cs="Times New Roman"/>
                <w:lang w:val="en-ZA"/>
              </w:rPr>
              <w:t xml:space="preserve">Change management </w:t>
            </w:r>
            <w:r w:rsidRPr="00F15DFF">
              <w:rPr>
                <w:rFonts w:ascii="Calibri" w:eastAsia="Calibri" w:hAnsi="Calibri" w:cs="Times New Roman"/>
                <w:lang w:val="en-ZA"/>
              </w:rPr>
              <w:t>Workshops</w:t>
            </w:r>
          </w:p>
        </w:tc>
        <w:tc>
          <w:tcPr>
            <w:tcW w:w="1960" w:type="pct"/>
            <w:vAlign w:val="center"/>
          </w:tcPr>
          <w:p w:rsidR="00BB60AD" w:rsidRPr="00EC7B53" w:rsidRDefault="00BB60AD" w:rsidP="00867D81">
            <w:pPr>
              <w:autoSpaceDE w:val="0"/>
              <w:autoSpaceDN w:val="0"/>
              <w:adjustRightInd w:val="0"/>
              <w:jc w:val="left"/>
              <w:rPr>
                <w:rFonts w:eastAsia="Times New Roman" w:cstheme="minorHAnsi"/>
                <w:lang w:val="quz-EC"/>
              </w:rPr>
            </w:pPr>
            <w:r w:rsidRPr="00867D81">
              <w:rPr>
                <w:rFonts w:eastAsia="Calibri" w:cstheme="minorHAnsi"/>
                <w:lang w:val="en-ZA"/>
              </w:rPr>
              <w:t xml:space="preserve">Workshops presented to School Management </w:t>
            </w:r>
            <w:r>
              <w:rPr>
                <w:rFonts w:eastAsia="Calibri" w:cstheme="minorHAnsi"/>
                <w:lang w:val="en-ZA"/>
              </w:rPr>
              <w:t xml:space="preserve">(Principals, ICT Coordinators) </w:t>
            </w:r>
            <w:r w:rsidRPr="00867D81">
              <w:rPr>
                <w:rFonts w:eastAsia="Calibri" w:cstheme="minorHAnsi"/>
                <w:lang w:val="en-ZA"/>
              </w:rPr>
              <w:t xml:space="preserve">on the </w:t>
            </w:r>
            <w:r w:rsidRPr="00867D81">
              <w:rPr>
                <w:rFonts w:eastAsia="Times New Roman" w:cstheme="minorHAnsi"/>
                <w:lang w:val="quz-EC"/>
              </w:rPr>
              <w:t>use of ICTs in schools for both teaching and learning</w:t>
            </w:r>
            <w:r>
              <w:rPr>
                <w:rFonts w:eastAsia="Calibri" w:cstheme="minorHAnsi"/>
                <w:lang w:val="en-ZA"/>
              </w:rPr>
              <w:t xml:space="preserve">. </w:t>
            </w:r>
            <w:r w:rsidRPr="00867D81">
              <w:rPr>
                <w:rFonts w:eastAsia="Calibri" w:cstheme="minorHAnsi"/>
                <w:lang w:val="en-ZA"/>
              </w:rPr>
              <w:t>Workshops have the benefit of providing good opportunities for interaction, as they will generally run over one or more days. Travel and time costs associated with workshops are generally high, and also require careful planning, preparation, and facilitation to be effective.</w:t>
            </w:r>
          </w:p>
        </w:tc>
        <w:tc>
          <w:tcPr>
            <w:tcW w:w="1959" w:type="pct"/>
          </w:tcPr>
          <w:p w:rsidR="00BB60AD" w:rsidRPr="00867D81" w:rsidRDefault="00BB60AD" w:rsidP="00867D81">
            <w:pPr>
              <w:autoSpaceDE w:val="0"/>
              <w:autoSpaceDN w:val="0"/>
              <w:adjustRightInd w:val="0"/>
              <w:jc w:val="left"/>
              <w:rPr>
                <w:rFonts w:eastAsia="Calibri" w:cstheme="minorHAnsi"/>
                <w:lang w:val="en-ZA"/>
              </w:rPr>
            </w:pPr>
          </w:p>
        </w:tc>
      </w:tr>
      <w:tr w:rsidR="00BB60AD" w:rsidRPr="00F15DFF" w:rsidTr="00191455">
        <w:tc>
          <w:tcPr>
            <w:tcW w:w="1081" w:type="pct"/>
            <w:vAlign w:val="center"/>
          </w:tcPr>
          <w:p w:rsidR="00BB60AD" w:rsidRPr="005B3385" w:rsidRDefault="00BB60AD" w:rsidP="003915A1">
            <w:pPr>
              <w:numPr>
                <w:ilvl w:val="1"/>
                <w:numId w:val="4"/>
              </w:numPr>
              <w:jc w:val="left"/>
              <w:rPr>
                <w:rFonts w:eastAsia="Calibri" w:cstheme="minorHAnsi"/>
                <w:lang w:val="en-ZA"/>
              </w:rPr>
            </w:pPr>
            <w:r>
              <w:rPr>
                <w:rFonts w:eastAsia="Calibri" w:cstheme="minorHAnsi"/>
                <w:lang w:val="en-ZA"/>
              </w:rPr>
              <w:t>Face-to-face Forums</w:t>
            </w:r>
          </w:p>
        </w:tc>
        <w:tc>
          <w:tcPr>
            <w:tcW w:w="1960" w:type="pct"/>
            <w:vAlign w:val="center"/>
          </w:tcPr>
          <w:p w:rsidR="00BB60AD" w:rsidRPr="005B3385" w:rsidRDefault="00BB60AD" w:rsidP="005B3385">
            <w:pPr>
              <w:autoSpaceDE w:val="0"/>
              <w:autoSpaceDN w:val="0"/>
              <w:adjustRightInd w:val="0"/>
              <w:jc w:val="left"/>
              <w:rPr>
                <w:rFonts w:eastAsia="Times New Roman" w:cstheme="minorHAnsi"/>
                <w:lang w:val="quz-EC"/>
              </w:rPr>
            </w:pPr>
            <w:r w:rsidRPr="005B3385">
              <w:rPr>
                <w:rFonts w:eastAsia="Times New Roman" w:cstheme="minorHAnsi"/>
                <w:lang w:val="quz-EC"/>
              </w:rPr>
              <w:t>Create face-to-face forums for dialogue amongst key groups</w:t>
            </w:r>
          </w:p>
          <w:p w:rsidR="00BB60AD" w:rsidRPr="005B3385" w:rsidRDefault="00BB60AD" w:rsidP="005B3385">
            <w:pPr>
              <w:rPr>
                <w:rFonts w:cstheme="minorHAnsi"/>
                <w:lang w:val="en-ZA"/>
              </w:rPr>
            </w:pPr>
            <w:r w:rsidRPr="005B3385">
              <w:rPr>
                <w:rFonts w:eastAsia="Times New Roman" w:cstheme="minorHAnsi"/>
                <w:lang w:val="quz-EC"/>
              </w:rPr>
              <w:t>of stakeholders across Guyana.</w:t>
            </w:r>
          </w:p>
        </w:tc>
        <w:tc>
          <w:tcPr>
            <w:tcW w:w="1959" w:type="pct"/>
          </w:tcPr>
          <w:p w:rsidR="00BB60AD" w:rsidRPr="005B3385" w:rsidRDefault="00BB60AD" w:rsidP="005B3385">
            <w:pPr>
              <w:autoSpaceDE w:val="0"/>
              <w:autoSpaceDN w:val="0"/>
              <w:adjustRightInd w:val="0"/>
              <w:jc w:val="left"/>
              <w:rPr>
                <w:rFonts w:eastAsia="Times New Roman" w:cstheme="minorHAnsi"/>
                <w:lang w:val="quz-EC"/>
              </w:rPr>
            </w:pPr>
          </w:p>
        </w:tc>
      </w:tr>
      <w:tr w:rsidR="00BB60AD" w:rsidRPr="00F15DFF" w:rsidTr="00191455">
        <w:tc>
          <w:tcPr>
            <w:tcW w:w="3041" w:type="pct"/>
            <w:gridSpan w:val="2"/>
            <w:vAlign w:val="center"/>
          </w:tcPr>
          <w:p w:rsidR="00BB60AD" w:rsidRPr="00F15DFF" w:rsidRDefault="00BB60AD" w:rsidP="003915A1">
            <w:pPr>
              <w:numPr>
                <w:ilvl w:val="0"/>
                <w:numId w:val="4"/>
              </w:numPr>
              <w:rPr>
                <w:rFonts w:ascii="Calibri" w:eastAsia="Calibri" w:hAnsi="Calibri" w:cs="Times New Roman"/>
                <w:lang w:val="en-ZA"/>
              </w:rPr>
            </w:pPr>
            <w:r w:rsidRPr="00F15DFF">
              <w:rPr>
                <w:rFonts w:ascii="Calibri" w:eastAsia="Calibri" w:hAnsi="Calibri" w:cs="Times New Roman"/>
                <w:i/>
                <w:lang w:val="en-ZA"/>
              </w:rPr>
              <w:t>Mass Media/Advertising</w:t>
            </w:r>
          </w:p>
        </w:tc>
        <w:tc>
          <w:tcPr>
            <w:tcW w:w="1959" w:type="pct"/>
          </w:tcPr>
          <w:p w:rsidR="00BB60AD" w:rsidRPr="00F15DFF" w:rsidRDefault="00BB60AD" w:rsidP="00DC5E31">
            <w:pPr>
              <w:rPr>
                <w:rFonts w:ascii="Calibri" w:eastAsia="Calibri" w:hAnsi="Calibri" w:cs="Times New Roman"/>
                <w:i/>
                <w:lang w:val="en-ZA"/>
              </w:rPr>
            </w:pPr>
          </w:p>
        </w:tc>
      </w:tr>
      <w:tr w:rsidR="00BB60AD" w:rsidRPr="00F15DFF" w:rsidTr="00191455">
        <w:tc>
          <w:tcPr>
            <w:tcW w:w="1081" w:type="pct"/>
            <w:vAlign w:val="center"/>
          </w:tcPr>
          <w:p w:rsidR="00BB60AD" w:rsidRPr="00F15DFF" w:rsidRDefault="00BB60AD" w:rsidP="003915A1">
            <w:pPr>
              <w:numPr>
                <w:ilvl w:val="1"/>
                <w:numId w:val="4"/>
              </w:numPr>
              <w:rPr>
                <w:rFonts w:ascii="Calibri" w:eastAsia="Calibri" w:hAnsi="Calibri" w:cs="Times New Roman"/>
                <w:lang w:val="en-ZA"/>
              </w:rPr>
            </w:pPr>
            <w:r>
              <w:rPr>
                <w:rFonts w:ascii="Calibri" w:eastAsia="Calibri" w:hAnsi="Calibri" w:cs="Times New Roman"/>
                <w:lang w:val="en-ZA"/>
              </w:rPr>
              <w:t>Advocacy on dedicated</w:t>
            </w:r>
            <w:r w:rsidRPr="00F15DFF">
              <w:rPr>
                <w:rFonts w:ascii="Calibri" w:eastAsia="Calibri" w:hAnsi="Calibri" w:cs="Times New Roman"/>
                <w:lang w:val="en-ZA"/>
              </w:rPr>
              <w:t xml:space="preserve"> </w:t>
            </w:r>
            <w:r>
              <w:rPr>
                <w:rFonts w:ascii="Calibri" w:eastAsia="Calibri" w:hAnsi="Calibri" w:cs="Times New Roman"/>
                <w:lang w:val="en-ZA"/>
              </w:rPr>
              <w:t>TV channel</w:t>
            </w:r>
          </w:p>
          <w:p w:rsidR="00BB60AD" w:rsidRPr="00F15DFF" w:rsidRDefault="00BB60AD" w:rsidP="00EB1640">
            <w:pPr>
              <w:rPr>
                <w:rFonts w:ascii="Calibri" w:eastAsia="Calibri" w:hAnsi="Calibri" w:cs="Times New Roman"/>
                <w:lang w:val="en-ZA"/>
              </w:rPr>
            </w:pPr>
          </w:p>
        </w:tc>
        <w:tc>
          <w:tcPr>
            <w:tcW w:w="1960" w:type="pct"/>
            <w:vAlign w:val="center"/>
          </w:tcPr>
          <w:p w:rsidR="00BB60AD" w:rsidRPr="00F15DFF" w:rsidRDefault="00BB60AD" w:rsidP="00EB1640">
            <w:pPr>
              <w:rPr>
                <w:rFonts w:ascii="Calibri" w:eastAsia="Calibri" w:hAnsi="Calibri" w:cs="Times New Roman"/>
                <w:lang w:val="en-ZA"/>
              </w:rPr>
            </w:pPr>
            <w:r>
              <w:rPr>
                <w:rFonts w:ascii="Calibri" w:eastAsia="Calibri" w:hAnsi="Calibri" w:cs="Times New Roman"/>
                <w:lang w:val="en-ZA"/>
              </w:rPr>
              <w:t>Involves communication</w:t>
            </w:r>
            <w:r w:rsidRPr="00F15DFF">
              <w:rPr>
                <w:rFonts w:ascii="Calibri" w:eastAsia="Calibri" w:hAnsi="Calibri" w:cs="Times New Roman"/>
                <w:lang w:val="en-ZA"/>
              </w:rPr>
              <w:t xml:space="preserve"> </w:t>
            </w:r>
            <w:r>
              <w:rPr>
                <w:rFonts w:ascii="Calibri" w:eastAsia="Calibri" w:hAnsi="Calibri" w:cs="Times New Roman"/>
                <w:lang w:val="en-ZA"/>
              </w:rPr>
              <w:t>of key messages and the use of ICT in the classroom.</w:t>
            </w:r>
          </w:p>
        </w:tc>
        <w:tc>
          <w:tcPr>
            <w:tcW w:w="1959" w:type="pct"/>
          </w:tcPr>
          <w:p w:rsidR="00BB60AD" w:rsidRDefault="00BB60AD" w:rsidP="00EB1640">
            <w:pPr>
              <w:rPr>
                <w:rFonts w:ascii="Calibri" w:eastAsia="Calibri" w:hAnsi="Calibri" w:cs="Times New Roman"/>
                <w:lang w:val="en-ZA"/>
              </w:rPr>
            </w:pPr>
          </w:p>
        </w:tc>
      </w:tr>
      <w:tr w:rsidR="00BB60AD" w:rsidRPr="00F15DFF" w:rsidTr="00191455">
        <w:tc>
          <w:tcPr>
            <w:tcW w:w="1081" w:type="pct"/>
            <w:vAlign w:val="center"/>
          </w:tcPr>
          <w:p w:rsidR="00BB60AD" w:rsidRPr="00DF67C1" w:rsidRDefault="00BB60AD" w:rsidP="00EB1640">
            <w:pPr>
              <w:numPr>
                <w:ilvl w:val="1"/>
                <w:numId w:val="4"/>
              </w:numPr>
              <w:jc w:val="left"/>
              <w:rPr>
                <w:rFonts w:ascii="Calibri" w:eastAsia="Calibri" w:hAnsi="Calibri" w:cs="Times New Roman"/>
              </w:rPr>
            </w:pPr>
            <w:r>
              <w:rPr>
                <w:rFonts w:ascii="Calibri" w:eastAsia="Calibri" w:hAnsi="Calibri" w:cs="Times New Roman"/>
              </w:rPr>
              <w:t>Distribution of</w:t>
            </w:r>
            <w:r w:rsidRPr="00F15DFF">
              <w:rPr>
                <w:rFonts w:ascii="Calibri" w:eastAsia="Calibri" w:hAnsi="Calibri" w:cs="Times New Roman"/>
              </w:rPr>
              <w:t xml:space="preserve"> resources</w:t>
            </w:r>
            <w:r>
              <w:rPr>
                <w:rFonts w:ascii="Calibri" w:eastAsia="Calibri" w:hAnsi="Calibri" w:cs="Times New Roman"/>
              </w:rPr>
              <w:t>/</w:t>
            </w:r>
            <w:r w:rsidR="00DF67C1">
              <w:rPr>
                <w:rFonts w:ascii="Calibri" w:eastAsia="Calibri" w:hAnsi="Calibri" w:cs="Times New Roman"/>
              </w:rPr>
              <w:t xml:space="preserve"> </w:t>
            </w:r>
            <w:r>
              <w:rPr>
                <w:rFonts w:ascii="Calibri" w:eastAsia="Calibri" w:hAnsi="Calibri" w:cs="Times New Roman"/>
              </w:rPr>
              <w:t>advocacy materials</w:t>
            </w:r>
            <w:r w:rsidRPr="00F15DFF">
              <w:rPr>
                <w:rFonts w:ascii="Calibri" w:eastAsia="Calibri" w:hAnsi="Calibri" w:cs="Times New Roman"/>
              </w:rPr>
              <w:t xml:space="preserve"> to schools</w:t>
            </w:r>
          </w:p>
        </w:tc>
        <w:tc>
          <w:tcPr>
            <w:tcW w:w="1960" w:type="pct"/>
            <w:vAlign w:val="center"/>
          </w:tcPr>
          <w:p w:rsidR="00BB60AD" w:rsidRPr="00F15DFF" w:rsidRDefault="00BB60AD" w:rsidP="00191455">
            <w:pPr>
              <w:jc w:val="left"/>
              <w:rPr>
                <w:rFonts w:ascii="Calibri" w:eastAsia="Calibri" w:hAnsi="Calibri" w:cs="Times New Roman"/>
                <w:lang w:val="en-ZA"/>
              </w:rPr>
            </w:pPr>
            <w:r>
              <w:rPr>
                <w:rFonts w:ascii="Calibri" w:eastAsia="Calibri" w:hAnsi="Calibri" w:cs="Times New Roman"/>
                <w:lang w:val="en-ZA"/>
              </w:rPr>
              <w:t>Distribution of informational brochures to schools across Guyana.</w:t>
            </w:r>
          </w:p>
        </w:tc>
        <w:tc>
          <w:tcPr>
            <w:tcW w:w="1959" w:type="pct"/>
          </w:tcPr>
          <w:p w:rsidR="00BB60AD" w:rsidRPr="00DC5E31" w:rsidRDefault="00DC5E31" w:rsidP="00DC5E31">
            <w:pPr>
              <w:jc w:val="left"/>
              <w:rPr>
                <w:rFonts w:ascii="Calibri" w:eastAsia="Calibri" w:hAnsi="Calibri" w:cs="Times New Roman"/>
                <w:lang w:val="en-ZA"/>
              </w:rPr>
            </w:pPr>
            <w:r w:rsidRPr="00DC5E31">
              <w:rPr>
                <w:i/>
                <w:lang w:val="en-ZA"/>
              </w:rPr>
              <w:t>Package materials for redistribution</w:t>
            </w:r>
            <w:r w:rsidRPr="00DC5E31">
              <w:rPr>
                <w:lang w:val="en-ZA"/>
              </w:rPr>
              <w:t>. Creation of a CD-interface housing Guyana Pre-Service and In-Service materials. Inclusion of supporting files and editable versions of documents so as to allow for ease of editing/repurposing by other institutions.</w:t>
            </w:r>
          </w:p>
        </w:tc>
      </w:tr>
      <w:tr w:rsidR="00BB60AD" w:rsidRPr="00F15DFF" w:rsidTr="00191455">
        <w:tc>
          <w:tcPr>
            <w:tcW w:w="1081" w:type="pct"/>
            <w:vAlign w:val="center"/>
          </w:tcPr>
          <w:p w:rsidR="00BB60AD" w:rsidRPr="00F15DFF" w:rsidRDefault="00BB60AD" w:rsidP="003915A1">
            <w:pPr>
              <w:numPr>
                <w:ilvl w:val="1"/>
                <w:numId w:val="4"/>
              </w:numPr>
              <w:jc w:val="left"/>
              <w:rPr>
                <w:rFonts w:ascii="Calibri" w:eastAsia="Calibri" w:hAnsi="Calibri" w:cs="Times New Roman"/>
                <w:lang w:val="en-ZA"/>
              </w:rPr>
            </w:pPr>
            <w:r w:rsidRPr="00F15DFF">
              <w:rPr>
                <w:rFonts w:ascii="Calibri" w:eastAsia="Calibri" w:hAnsi="Calibri" w:cs="Times New Roman"/>
                <w:lang w:val="en-ZA"/>
              </w:rPr>
              <w:t>Press Releases and Education Columns in Newspapers</w:t>
            </w:r>
          </w:p>
        </w:tc>
        <w:tc>
          <w:tcPr>
            <w:tcW w:w="1960" w:type="pct"/>
            <w:vAlign w:val="center"/>
          </w:tcPr>
          <w:p w:rsidR="00BB60AD" w:rsidRPr="00F15DFF" w:rsidRDefault="00BB60AD" w:rsidP="00FD54B7">
            <w:pPr>
              <w:rPr>
                <w:rFonts w:ascii="Calibri" w:eastAsia="Calibri" w:hAnsi="Calibri" w:cs="Times New Roman"/>
                <w:lang w:val="en-ZA"/>
              </w:rPr>
            </w:pPr>
            <w:r w:rsidRPr="00F15DFF">
              <w:rPr>
                <w:rFonts w:ascii="Calibri" w:eastAsia="Calibri" w:hAnsi="Calibri" w:cs="Times New Roman"/>
                <w:lang w:val="en-ZA"/>
              </w:rPr>
              <w:t>Circulation of press releases can be an effective way of sending messages out very broadly. To work successfully, they will require a meaningful ‘hook’, that is something of sufficient interest to justify the newspaper printing the press release. A risk of press releases is that there is no control over how journalists interpret or report what they receive, so messages may be distorted.</w:t>
            </w:r>
          </w:p>
        </w:tc>
        <w:tc>
          <w:tcPr>
            <w:tcW w:w="1959" w:type="pct"/>
          </w:tcPr>
          <w:p w:rsidR="00BB60AD" w:rsidRPr="00F15DFF" w:rsidRDefault="00BB60AD" w:rsidP="00FD54B7">
            <w:pPr>
              <w:rPr>
                <w:rFonts w:ascii="Calibri" w:eastAsia="Calibri" w:hAnsi="Calibri" w:cs="Times New Roman"/>
                <w:lang w:val="en-ZA"/>
              </w:rPr>
            </w:pPr>
          </w:p>
        </w:tc>
      </w:tr>
      <w:tr w:rsidR="00BB60AD" w:rsidRPr="00F15DFF" w:rsidTr="00191455">
        <w:tc>
          <w:tcPr>
            <w:tcW w:w="1081" w:type="pct"/>
            <w:vAlign w:val="center"/>
          </w:tcPr>
          <w:p w:rsidR="00BB60AD" w:rsidRPr="00F15DFF" w:rsidRDefault="00BB60AD" w:rsidP="003915A1">
            <w:pPr>
              <w:numPr>
                <w:ilvl w:val="1"/>
                <w:numId w:val="4"/>
              </w:numPr>
              <w:jc w:val="left"/>
              <w:rPr>
                <w:rFonts w:ascii="Calibri" w:eastAsia="Calibri" w:hAnsi="Calibri" w:cs="Times New Roman"/>
                <w:lang w:val="en-ZA"/>
              </w:rPr>
            </w:pPr>
            <w:r w:rsidRPr="00F15DFF">
              <w:rPr>
                <w:rFonts w:ascii="Calibri" w:eastAsia="Calibri" w:hAnsi="Calibri" w:cs="Times New Roman"/>
                <w:lang w:val="en-ZA"/>
              </w:rPr>
              <w:t xml:space="preserve">Mass Media </w:t>
            </w:r>
            <w:r w:rsidRPr="00F15DFF">
              <w:rPr>
                <w:rFonts w:ascii="Calibri" w:eastAsia="Calibri" w:hAnsi="Calibri" w:cs="Times New Roman"/>
                <w:lang w:val="en-ZA"/>
              </w:rPr>
              <w:lastRenderedPageBreak/>
              <w:t>/ Advertising Campaign (Radio, Television, Newspapers, Magazines,  etc)</w:t>
            </w:r>
          </w:p>
        </w:tc>
        <w:tc>
          <w:tcPr>
            <w:tcW w:w="1960" w:type="pct"/>
            <w:vAlign w:val="center"/>
          </w:tcPr>
          <w:p w:rsidR="00BB60AD" w:rsidRPr="00F15DFF" w:rsidRDefault="00BB60AD" w:rsidP="00B3147E">
            <w:pPr>
              <w:rPr>
                <w:rFonts w:ascii="Calibri" w:eastAsia="Calibri" w:hAnsi="Calibri" w:cs="Times New Roman"/>
                <w:lang w:val="en-ZA"/>
              </w:rPr>
            </w:pPr>
            <w:r w:rsidRPr="00F15DFF">
              <w:rPr>
                <w:rFonts w:ascii="Calibri" w:eastAsia="Calibri" w:hAnsi="Calibri" w:cs="Times New Roman"/>
                <w:lang w:val="en-ZA"/>
              </w:rPr>
              <w:lastRenderedPageBreak/>
              <w:t xml:space="preserve">Mass media/advertising campaigns </w:t>
            </w:r>
            <w:r w:rsidRPr="00F15DFF">
              <w:rPr>
                <w:rFonts w:ascii="Calibri" w:eastAsia="Calibri" w:hAnsi="Calibri" w:cs="Times New Roman"/>
                <w:lang w:val="en-ZA"/>
              </w:rPr>
              <w:lastRenderedPageBreak/>
              <w:t>would be run at a national level to raise awareness about ICT generally or by institutions in an effort to recruit new students or promote their activities. Such campaigns are generally costly to run.</w:t>
            </w:r>
          </w:p>
        </w:tc>
        <w:tc>
          <w:tcPr>
            <w:tcW w:w="1959" w:type="pct"/>
          </w:tcPr>
          <w:p w:rsidR="00BB60AD" w:rsidRPr="00F15DFF" w:rsidRDefault="00BB60AD" w:rsidP="00B3147E">
            <w:pPr>
              <w:rPr>
                <w:rFonts w:ascii="Calibri" w:eastAsia="Calibri" w:hAnsi="Calibri" w:cs="Times New Roman"/>
                <w:lang w:val="en-ZA"/>
              </w:rPr>
            </w:pPr>
          </w:p>
        </w:tc>
      </w:tr>
      <w:tr w:rsidR="00BB60AD" w:rsidRPr="00F15DFF" w:rsidTr="00191455">
        <w:tc>
          <w:tcPr>
            <w:tcW w:w="3041" w:type="pct"/>
            <w:gridSpan w:val="2"/>
            <w:vAlign w:val="center"/>
          </w:tcPr>
          <w:p w:rsidR="00BB60AD" w:rsidRPr="00F15DFF" w:rsidRDefault="00BB60AD" w:rsidP="003915A1">
            <w:pPr>
              <w:numPr>
                <w:ilvl w:val="0"/>
                <w:numId w:val="4"/>
              </w:numPr>
              <w:rPr>
                <w:rFonts w:ascii="Calibri" w:eastAsia="Calibri" w:hAnsi="Calibri" w:cs="Times New Roman"/>
                <w:lang w:val="en-ZA"/>
              </w:rPr>
            </w:pPr>
            <w:r w:rsidRPr="00F15DFF">
              <w:rPr>
                <w:rFonts w:ascii="Calibri" w:eastAsia="Calibri" w:hAnsi="Calibri" w:cs="Times New Roman"/>
                <w:i/>
                <w:lang w:val="en-ZA"/>
              </w:rPr>
              <w:lastRenderedPageBreak/>
              <w:t>Targeted Communication</w:t>
            </w:r>
          </w:p>
        </w:tc>
        <w:tc>
          <w:tcPr>
            <w:tcW w:w="1959" w:type="pct"/>
          </w:tcPr>
          <w:p w:rsidR="00BB60AD" w:rsidRPr="00F15DFF" w:rsidRDefault="00BB60AD" w:rsidP="00DC5E31">
            <w:pPr>
              <w:rPr>
                <w:rFonts w:ascii="Calibri" w:eastAsia="Calibri" w:hAnsi="Calibri" w:cs="Times New Roman"/>
                <w:i/>
                <w:lang w:val="en-ZA"/>
              </w:rPr>
            </w:pPr>
          </w:p>
        </w:tc>
      </w:tr>
      <w:tr w:rsidR="00DC5E31" w:rsidRPr="00F15DFF" w:rsidTr="00191455">
        <w:tc>
          <w:tcPr>
            <w:tcW w:w="1081" w:type="pct"/>
            <w:vAlign w:val="center"/>
          </w:tcPr>
          <w:p w:rsidR="00DC5E31" w:rsidRPr="00F15DFF" w:rsidRDefault="00DC5E31" w:rsidP="003915A1">
            <w:pPr>
              <w:numPr>
                <w:ilvl w:val="1"/>
                <w:numId w:val="4"/>
              </w:numPr>
              <w:rPr>
                <w:rFonts w:ascii="Calibri" w:eastAsia="Calibri" w:hAnsi="Calibri" w:cs="Times New Roman"/>
                <w:lang w:val="en-ZA"/>
              </w:rPr>
            </w:pPr>
            <w:r w:rsidRPr="00F15DFF">
              <w:rPr>
                <w:rFonts w:ascii="Calibri" w:eastAsia="Calibri" w:hAnsi="Calibri" w:cs="Times New Roman"/>
                <w:lang w:val="en-ZA"/>
              </w:rPr>
              <w:t>Flyers/ Brochures / Pamphlets</w:t>
            </w:r>
          </w:p>
        </w:tc>
        <w:tc>
          <w:tcPr>
            <w:tcW w:w="1960" w:type="pct"/>
            <w:vMerge w:val="restart"/>
            <w:vAlign w:val="center"/>
          </w:tcPr>
          <w:p w:rsidR="00DC5E31" w:rsidRPr="00613644" w:rsidRDefault="00DC5E31" w:rsidP="00EB1640">
            <w:pPr>
              <w:rPr>
                <w:rFonts w:ascii="Calibri" w:eastAsia="Calibri" w:hAnsi="Calibri" w:cs="Times New Roman"/>
                <w:lang w:val="en-ZA"/>
              </w:rPr>
            </w:pPr>
            <w:r w:rsidRPr="00613644">
              <w:rPr>
                <w:rFonts w:ascii="Calibri" w:eastAsia="Calibri" w:hAnsi="Calibri" w:cs="Times New Roman"/>
                <w:lang w:val="en-ZA"/>
              </w:rPr>
              <w:t xml:space="preserve">While production of all of these items may form part of a mass media strategy, they are listed as ‘Targeted Communication’ as the intention is generally for items to be placed into micro-level environments for more direct, ‘personal’ communication with the audience (as opposed to mass media strategies, which seek to have very broad coverage through a single intervention). Once produced, targeted communication artefacts can be distributed through a variety of mechanisms at regional, national, and institutional levels, both in hard copy and electronically. </w:t>
            </w:r>
          </w:p>
        </w:tc>
        <w:tc>
          <w:tcPr>
            <w:tcW w:w="1959" w:type="pct"/>
            <w:vMerge w:val="restart"/>
          </w:tcPr>
          <w:p w:rsidR="00755EE6" w:rsidRDefault="00DC5E31" w:rsidP="00DC5E31">
            <w:pPr>
              <w:pStyle w:val="ListParagraph"/>
              <w:numPr>
                <w:ilvl w:val="0"/>
                <w:numId w:val="8"/>
              </w:numPr>
              <w:jc w:val="left"/>
              <w:rPr>
                <w:lang w:val="en-ZA"/>
              </w:rPr>
            </w:pPr>
            <w:r w:rsidRPr="00755EE6">
              <w:rPr>
                <w:i/>
                <w:lang w:val="en-ZA"/>
              </w:rPr>
              <w:t xml:space="preserve">Brochures </w:t>
            </w:r>
            <w:r w:rsidRPr="00755EE6">
              <w:rPr>
                <w:lang w:val="en-ZA"/>
              </w:rPr>
              <w:t>outlining the Guyana Materials Development process and distributed to Ministries of Education and relevant key personnel at Teacher Education Institutions in neighbouring countries.</w:t>
            </w:r>
          </w:p>
          <w:p w:rsidR="00755EE6" w:rsidRPr="00755EE6" w:rsidRDefault="00755EE6" w:rsidP="00DC5E31">
            <w:pPr>
              <w:pStyle w:val="ListParagraph"/>
              <w:numPr>
                <w:ilvl w:val="0"/>
                <w:numId w:val="8"/>
              </w:numPr>
              <w:jc w:val="left"/>
              <w:rPr>
                <w:lang w:val="en-ZA"/>
              </w:rPr>
            </w:pPr>
            <w:r w:rsidRPr="00755EE6">
              <w:rPr>
                <w:i/>
              </w:rPr>
              <w:t>Case study</w:t>
            </w:r>
            <w:r>
              <w:t xml:space="preserve"> on the development, deployment and impact of the Guyana / UNESCO ICT </w:t>
            </w:r>
            <w:r w:rsidR="00BD222B">
              <w:t>CFT</w:t>
            </w:r>
            <w:r>
              <w:t xml:space="preserve"> curriculum course.</w:t>
            </w:r>
          </w:p>
          <w:p w:rsidR="00DC5E31" w:rsidRPr="00DC5E31" w:rsidRDefault="00DC5E31" w:rsidP="00DC5E31">
            <w:pPr>
              <w:pStyle w:val="ListParagraph"/>
              <w:ind w:left="360"/>
              <w:rPr>
                <w:lang w:val="en-ZA"/>
              </w:rPr>
            </w:pPr>
          </w:p>
          <w:p w:rsidR="00DC5E31" w:rsidRPr="00613644" w:rsidRDefault="00DC5E31" w:rsidP="00EB1640">
            <w:pPr>
              <w:rPr>
                <w:rFonts w:ascii="Calibri" w:eastAsia="Calibri" w:hAnsi="Calibri" w:cs="Times New Roman"/>
                <w:lang w:val="en-ZA"/>
              </w:rPr>
            </w:pPr>
          </w:p>
        </w:tc>
      </w:tr>
      <w:tr w:rsidR="00DC5E31" w:rsidRPr="00F15DFF" w:rsidTr="00191455">
        <w:tc>
          <w:tcPr>
            <w:tcW w:w="1081" w:type="pct"/>
            <w:vAlign w:val="center"/>
          </w:tcPr>
          <w:p w:rsidR="00DC5E31" w:rsidRPr="00F15DFF" w:rsidRDefault="00DC5E31" w:rsidP="003915A1">
            <w:pPr>
              <w:numPr>
                <w:ilvl w:val="1"/>
                <w:numId w:val="4"/>
              </w:numPr>
              <w:rPr>
                <w:rFonts w:ascii="Calibri" w:eastAsia="Calibri" w:hAnsi="Calibri" w:cs="Times New Roman"/>
                <w:lang w:val="en-ZA"/>
              </w:rPr>
            </w:pPr>
            <w:r w:rsidRPr="00F15DFF">
              <w:rPr>
                <w:rFonts w:ascii="Calibri" w:eastAsia="Calibri" w:hAnsi="Calibri" w:cs="Times New Roman"/>
                <w:lang w:val="en-ZA"/>
              </w:rPr>
              <w:t>Posters</w:t>
            </w:r>
          </w:p>
        </w:tc>
        <w:tc>
          <w:tcPr>
            <w:tcW w:w="1960" w:type="pct"/>
            <w:vMerge/>
            <w:vAlign w:val="center"/>
          </w:tcPr>
          <w:p w:rsidR="00DC5E31" w:rsidRPr="00F15DFF" w:rsidRDefault="00DC5E31" w:rsidP="00FD54B7">
            <w:pPr>
              <w:rPr>
                <w:rFonts w:ascii="Calibri" w:eastAsia="Calibri" w:hAnsi="Calibri" w:cs="Times New Roman"/>
                <w:lang w:val="en-ZA"/>
              </w:rPr>
            </w:pPr>
          </w:p>
        </w:tc>
        <w:tc>
          <w:tcPr>
            <w:tcW w:w="1959" w:type="pct"/>
            <w:vMerge/>
          </w:tcPr>
          <w:p w:rsidR="00DC5E31" w:rsidRPr="00F15DFF" w:rsidRDefault="00DC5E31" w:rsidP="00FD54B7">
            <w:pPr>
              <w:rPr>
                <w:rFonts w:ascii="Calibri" w:eastAsia="Calibri" w:hAnsi="Calibri" w:cs="Times New Roman"/>
                <w:lang w:val="en-ZA"/>
              </w:rPr>
            </w:pPr>
          </w:p>
        </w:tc>
      </w:tr>
      <w:tr w:rsidR="00DC5E31" w:rsidRPr="00F15DFF" w:rsidTr="00191455">
        <w:tc>
          <w:tcPr>
            <w:tcW w:w="1081" w:type="pct"/>
            <w:vAlign w:val="center"/>
          </w:tcPr>
          <w:p w:rsidR="00DC5E31" w:rsidRPr="00F15DFF" w:rsidRDefault="00DC5E31" w:rsidP="003915A1">
            <w:pPr>
              <w:numPr>
                <w:ilvl w:val="1"/>
                <w:numId w:val="4"/>
              </w:numPr>
              <w:rPr>
                <w:rFonts w:ascii="Calibri" w:eastAsia="Calibri" w:hAnsi="Calibri" w:cs="Times New Roman"/>
                <w:lang w:val="en-ZA"/>
              </w:rPr>
            </w:pPr>
            <w:r w:rsidRPr="00F15DFF">
              <w:rPr>
                <w:rFonts w:ascii="Calibri" w:eastAsia="Calibri" w:hAnsi="Calibri" w:cs="Times New Roman"/>
                <w:lang w:val="en-ZA"/>
              </w:rPr>
              <w:t>Booklets</w:t>
            </w:r>
          </w:p>
        </w:tc>
        <w:tc>
          <w:tcPr>
            <w:tcW w:w="1960" w:type="pct"/>
            <w:vMerge/>
            <w:vAlign w:val="center"/>
          </w:tcPr>
          <w:p w:rsidR="00DC5E31" w:rsidRPr="00F15DFF" w:rsidRDefault="00DC5E31" w:rsidP="00FD54B7">
            <w:pPr>
              <w:rPr>
                <w:rFonts w:ascii="Calibri" w:eastAsia="Calibri" w:hAnsi="Calibri" w:cs="Times New Roman"/>
                <w:lang w:val="en-ZA"/>
              </w:rPr>
            </w:pPr>
          </w:p>
        </w:tc>
        <w:tc>
          <w:tcPr>
            <w:tcW w:w="1959" w:type="pct"/>
            <w:vMerge/>
          </w:tcPr>
          <w:p w:rsidR="00DC5E31" w:rsidRPr="00F15DFF" w:rsidRDefault="00DC5E31" w:rsidP="00FD54B7">
            <w:pPr>
              <w:rPr>
                <w:rFonts w:ascii="Calibri" w:eastAsia="Calibri" w:hAnsi="Calibri" w:cs="Times New Roman"/>
                <w:lang w:val="en-ZA"/>
              </w:rPr>
            </w:pPr>
          </w:p>
        </w:tc>
      </w:tr>
      <w:tr w:rsidR="00DC5E31" w:rsidRPr="00F15DFF" w:rsidTr="00191455">
        <w:tc>
          <w:tcPr>
            <w:tcW w:w="1081" w:type="pct"/>
            <w:vAlign w:val="center"/>
          </w:tcPr>
          <w:p w:rsidR="00DC5E31" w:rsidRPr="00F15DFF" w:rsidRDefault="00DC5E31" w:rsidP="003915A1">
            <w:pPr>
              <w:numPr>
                <w:ilvl w:val="1"/>
                <w:numId w:val="4"/>
              </w:numPr>
              <w:jc w:val="left"/>
              <w:rPr>
                <w:rFonts w:ascii="Calibri" w:eastAsia="Calibri" w:hAnsi="Calibri" w:cs="Times New Roman"/>
                <w:lang w:val="en-ZA"/>
              </w:rPr>
            </w:pPr>
            <w:r w:rsidRPr="00F15DFF">
              <w:rPr>
                <w:rFonts w:ascii="Calibri" w:eastAsia="Calibri" w:hAnsi="Calibri" w:cs="Times New Roman"/>
                <w:lang w:val="en-ZA"/>
              </w:rPr>
              <w:t>Prospectuses / Course Catalogues</w:t>
            </w:r>
          </w:p>
        </w:tc>
        <w:tc>
          <w:tcPr>
            <w:tcW w:w="1960" w:type="pct"/>
            <w:vMerge/>
            <w:vAlign w:val="center"/>
          </w:tcPr>
          <w:p w:rsidR="00DC5E31" w:rsidRPr="00F15DFF" w:rsidRDefault="00DC5E31" w:rsidP="00FD54B7">
            <w:pPr>
              <w:rPr>
                <w:rFonts w:ascii="Calibri" w:eastAsia="Calibri" w:hAnsi="Calibri" w:cs="Times New Roman"/>
                <w:lang w:val="en-ZA"/>
              </w:rPr>
            </w:pPr>
          </w:p>
        </w:tc>
        <w:tc>
          <w:tcPr>
            <w:tcW w:w="1959" w:type="pct"/>
            <w:vMerge/>
          </w:tcPr>
          <w:p w:rsidR="00DC5E31" w:rsidRPr="00F15DFF" w:rsidRDefault="00DC5E31" w:rsidP="00FD54B7">
            <w:pPr>
              <w:rPr>
                <w:rFonts w:ascii="Calibri" w:eastAsia="Calibri" w:hAnsi="Calibri" w:cs="Times New Roman"/>
                <w:lang w:val="en-ZA"/>
              </w:rPr>
            </w:pPr>
          </w:p>
        </w:tc>
      </w:tr>
      <w:tr w:rsidR="00BB60AD" w:rsidRPr="00F15DFF" w:rsidTr="00191455">
        <w:tc>
          <w:tcPr>
            <w:tcW w:w="3041" w:type="pct"/>
            <w:gridSpan w:val="2"/>
            <w:vAlign w:val="center"/>
          </w:tcPr>
          <w:p w:rsidR="00BB60AD" w:rsidRPr="00F15DFF" w:rsidRDefault="00BB60AD" w:rsidP="003915A1">
            <w:pPr>
              <w:numPr>
                <w:ilvl w:val="0"/>
                <w:numId w:val="4"/>
              </w:numPr>
              <w:rPr>
                <w:rFonts w:ascii="Calibri" w:eastAsia="Calibri" w:hAnsi="Calibri" w:cs="Times New Roman"/>
                <w:lang w:val="en-ZA"/>
              </w:rPr>
            </w:pPr>
            <w:r w:rsidRPr="00F15DFF">
              <w:rPr>
                <w:rFonts w:ascii="Calibri" w:eastAsia="Calibri" w:hAnsi="Calibri" w:cs="Times New Roman"/>
                <w:i/>
                <w:lang w:val="en-ZA"/>
              </w:rPr>
              <w:t>Online Strategies</w:t>
            </w:r>
          </w:p>
        </w:tc>
        <w:tc>
          <w:tcPr>
            <w:tcW w:w="1959" w:type="pct"/>
          </w:tcPr>
          <w:p w:rsidR="00BB60AD" w:rsidRPr="00F15DFF" w:rsidRDefault="00BB60AD" w:rsidP="00DC5E31">
            <w:pPr>
              <w:rPr>
                <w:rFonts w:ascii="Calibri" w:eastAsia="Calibri" w:hAnsi="Calibri" w:cs="Times New Roman"/>
                <w:i/>
                <w:lang w:val="en-ZA"/>
              </w:rPr>
            </w:pPr>
          </w:p>
        </w:tc>
      </w:tr>
      <w:tr w:rsidR="00BB60AD" w:rsidRPr="00F15DFF" w:rsidTr="00191455">
        <w:tc>
          <w:tcPr>
            <w:tcW w:w="1081" w:type="pct"/>
            <w:vAlign w:val="center"/>
          </w:tcPr>
          <w:p w:rsidR="00BB60AD" w:rsidRPr="00F15DFF" w:rsidRDefault="00BB60AD" w:rsidP="003915A1">
            <w:pPr>
              <w:numPr>
                <w:ilvl w:val="1"/>
                <w:numId w:val="4"/>
              </w:numPr>
              <w:jc w:val="left"/>
              <w:rPr>
                <w:rFonts w:ascii="Calibri" w:eastAsia="Calibri" w:hAnsi="Calibri" w:cs="Times New Roman"/>
                <w:lang w:val="en-ZA"/>
              </w:rPr>
            </w:pPr>
            <w:r>
              <w:rPr>
                <w:rFonts w:ascii="Calibri" w:eastAsia="Calibri" w:hAnsi="Calibri" w:cs="Times New Roman"/>
                <w:lang w:val="en-ZA"/>
              </w:rPr>
              <w:t>Websites</w:t>
            </w:r>
          </w:p>
        </w:tc>
        <w:tc>
          <w:tcPr>
            <w:tcW w:w="1960" w:type="pct"/>
            <w:vAlign w:val="center"/>
          </w:tcPr>
          <w:p w:rsidR="00BB60AD" w:rsidRPr="00F15DFF" w:rsidRDefault="00BB60AD" w:rsidP="00EB1640">
            <w:pPr>
              <w:rPr>
                <w:rFonts w:ascii="Calibri" w:eastAsia="Calibri" w:hAnsi="Calibri" w:cs="Times New Roman"/>
                <w:lang w:val="en-ZA"/>
              </w:rPr>
            </w:pPr>
            <w:r w:rsidRPr="00F15DFF">
              <w:rPr>
                <w:rFonts w:ascii="Calibri" w:eastAsia="Calibri" w:hAnsi="Calibri" w:cs="Times New Roman"/>
                <w:lang w:val="en-ZA"/>
              </w:rPr>
              <w:t>Useful primarily as vehicles to carry artefacts produced either for mass media consumption or for targeted communicatio</w:t>
            </w:r>
            <w:bookmarkStart w:id="4" w:name="_GoBack"/>
            <w:bookmarkEnd w:id="4"/>
            <w:r w:rsidRPr="00F15DFF">
              <w:rPr>
                <w:rFonts w:ascii="Calibri" w:eastAsia="Calibri" w:hAnsi="Calibri" w:cs="Times New Roman"/>
                <w:lang w:val="en-ZA"/>
              </w:rPr>
              <w:t>n. Can also be used to house web 2.0 facilities, such as blogs, onli</w:t>
            </w:r>
            <w:r>
              <w:rPr>
                <w:rFonts w:ascii="Calibri" w:eastAsia="Calibri" w:hAnsi="Calibri" w:cs="Times New Roman"/>
                <w:lang w:val="en-ZA"/>
              </w:rPr>
              <w:t xml:space="preserve">ne forums and discussion lists. </w:t>
            </w:r>
          </w:p>
        </w:tc>
        <w:tc>
          <w:tcPr>
            <w:tcW w:w="1959" w:type="pct"/>
          </w:tcPr>
          <w:p w:rsidR="00BB60AD" w:rsidRPr="00F15DFF" w:rsidRDefault="00DC5E31" w:rsidP="00DC5E31">
            <w:pPr>
              <w:jc w:val="left"/>
              <w:rPr>
                <w:rFonts w:ascii="Calibri" w:eastAsia="Calibri" w:hAnsi="Calibri" w:cs="Times New Roman"/>
                <w:lang w:val="en-ZA"/>
              </w:rPr>
            </w:pPr>
            <w:r w:rsidRPr="00DC5E31">
              <w:rPr>
                <w:i/>
                <w:lang w:val="en-ZA"/>
              </w:rPr>
              <w:t>Advocacy though websites</w:t>
            </w:r>
            <w:r w:rsidRPr="00DC5E31">
              <w:rPr>
                <w:lang w:val="en-ZA"/>
              </w:rPr>
              <w:t xml:space="preserve">. COL and </w:t>
            </w:r>
            <w:proofErr w:type="spellStart"/>
            <w:r w:rsidRPr="00DC5E31">
              <w:rPr>
                <w:lang w:val="en-ZA"/>
              </w:rPr>
              <w:t>Comsec</w:t>
            </w:r>
            <w:proofErr w:type="spellEnd"/>
            <w:r w:rsidRPr="00DC5E31">
              <w:rPr>
                <w:lang w:val="en-ZA"/>
              </w:rPr>
              <w:t xml:space="preserve"> to collaborate in the creation of a portal/repository for materials on implementation of the UNESCO ICT CFT. </w:t>
            </w:r>
          </w:p>
        </w:tc>
      </w:tr>
      <w:tr w:rsidR="00BB60AD" w:rsidRPr="00F15DFF" w:rsidTr="00191455">
        <w:tc>
          <w:tcPr>
            <w:tcW w:w="1081" w:type="pct"/>
            <w:vAlign w:val="center"/>
          </w:tcPr>
          <w:p w:rsidR="00BB60AD" w:rsidRPr="00F15DFF" w:rsidRDefault="00BB60AD" w:rsidP="003915A1">
            <w:pPr>
              <w:numPr>
                <w:ilvl w:val="1"/>
                <w:numId w:val="4"/>
              </w:numPr>
              <w:jc w:val="left"/>
              <w:rPr>
                <w:rFonts w:ascii="Calibri" w:eastAsia="Calibri" w:hAnsi="Calibri" w:cs="Times New Roman"/>
                <w:lang w:val="en-ZA"/>
              </w:rPr>
            </w:pPr>
            <w:r w:rsidRPr="00F15DFF">
              <w:rPr>
                <w:rFonts w:ascii="Calibri" w:eastAsia="Calibri" w:hAnsi="Calibri" w:cs="Times New Roman"/>
                <w:lang w:val="en-ZA"/>
              </w:rPr>
              <w:t>Blogs / Online Forums / Electronic Discussion Lists</w:t>
            </w:r>
          </w:p>
        </w:tc>
        <w:tc>
          <w:tcPr>
            <w:tcW w:w="1960" w:type="pct"/>
            <w:vAlign w:val="center"/>
          </w:tcPr>
          <w:p w:rsidR="00BB60AD" w:rsidRPr="00F15DFF" w:rsidRDefault="00BB60AD" w:rsidP="00FD54B7">
            <w:pPr>
              <w:rPr>
                <w:rFonts w:ascii="Calibri" w:eastAsia="Calibri" w:hAnsi="Calibri" w:cs="Times New Roman"/>
                <w:lang w:val="en-ZA"/>
              </w:rPr>
            </w:pPr>
            <w:r w:rsidRPr="00F15DFF">
              <w:rPr>
                <w:rFonts w:ascii="Calibri" w:eastAsia="Calibri" w:hAnsi="Calibri" w:cs="Times New Roman"/>
                <w:lang w:val="en-ZA"/>
              </w:rPr>
              <w:t xml:space="preserve">Online forums are generally electronic discussions that take place via a website, while discussion lists take place via email. Blogs are personal journals in which there is generally a commenting facility to allow readers to write responses to the blog post as well as with each other around the topic of the blog post. These activities create opportunities for interaction with targeted audiences, and have the benefit of being distributed and asynchronous. Can be a very cost-effective way of communicating with large numbers of people, but are limited by the requirement that </w:t>
            </w:r>
            <w:r w:rsidRPr="00F15DFF">
              <w:rPr>
                <w:rFonts w:ascii="Calibri" w:eastAsia="Calibri" w:hAnsi="Calibri" w:cs="Times New Roman"/>
                <w:lang w:val="en-ZA"/>
              </w:rPr>
              <w:lastRenderedPageBreak/>
              <w:t>participants have Internet access.</w:t>
            </w:r>
          </w:p>
        </w:tc>
        <w:tc>
          <w:tcPr>
            <w:tcW w:w="1959" w:type="pct"/>
          </w:tcPr>
          <w:p w:rsidR="00BB60AD" w:rsidRPr="00F15DFF" w:rsidRDefault="00BB60AD" w:rsidP="00FD54B7">
            <w:pPr>
              <w:rPr>
                <w:rFonts w:ascii="Calibri" w:eastAsia="Calibri" w:hAnsi="Calibri" w:cs="Times New Roman"/>
                <w:lang w:val="en-ZA"/>
              </w:rPr>
            </w:pPr>
          </w:p>
        </w:tc>
      </w:tr>
      <w:tr w:rsidR="00BB60AD" w:rsidRPr="00F15DFF" w:rsidTr="00191455">
        <w:tc>
          <w:tcPr>
            <w:tcW w:w="1081" w:type="pct"/>
            <w:vAlign w:val="center"/>
          </w:tcPr>
          <w:p w:rsidR="00BB60AD" w:rsidRPr="00F15DFF" w:rsidRDefault="00BB60AD" w:rsidP="003915A1">
            <w:pPr>
              <w:numPr>
                <w:ilvl w:val="1"/>
                <w:numId w:val="4"/>
              </w:numPr>
              <w:jc w:val="left"/>
              <w:rPr>
                <w:rFonts w:ascii="Calibri" w:eastAsia="Calibri" w:hAnsi="Calibri" w:cs="Times New Roman"/>
                <w:lang w:val="en-ZA"/>
              </w:rPr>
            </w:pPr>
            <w:r w:rsidRPr="00F15DFF">
              <w:rPr>
                <w:rFonts w:ascii="Calibri" w:eastAsia="Calibri" w:hAnsi="Calibri" w:cs="Times New Roman"/>
                <w:lang w:val="en-ZA"/>
              </w:rPr>
              <w:lastRenderedPageBreak/>
              <w:t>Electronic Newsletters / RSS Feeds</w:t>
            </w:r>
            <w:r w:rsidRPr="00F15DFF">
              <w:rPr>
                <w:rFonts w:ascii="Calibri" w:eastAsia="Calibri" w:hAnsi="Calibri" w:cs="Times New Roman"/>
                <w:vertAlign w:val="superscript"/>
                <w:lang w:val="en-ZA"/>
              </w:rPr>
              <w:footnoteReference w:id="5"/>
            </w:r>
            <w:r w:rsidRPr="00F15DFF">
              <w:rPr>
                <w:rFonts w:ascii="Calibri" w:eastAsia="Calibri" w:hAnsi="Calibri" w:cs="Times New Roman"/>
                <w:lang w:val="en-ZA"/>
              </w:rPr>
              <w:t xml:space="preserve"> / Social Networks</w:t>
            </w:r>
          </w:p>
        </w:tc>
        <w:tc>
          <w:tcPr>
            <w:tcW w:w="1960" w:type="pct"/>
            <w:vAlign w:val="center"/>
          </w:tcPr>
          <w:p w:rsidR="00BB60AD" w:rsidRPr="00F15DFF" w:rsidRDefault="00BB60AD" w:rsidP="00FD54B7">
            <w:pPr>
              <w:rPr>
                <w:rFonts w:ascii="Calibri" w:eastAsia="Calibri" w:hAnsi="Calibri" w:cs="Times New Roman"/>
                <w:lang w:val="en-ZA"/>
              </w:rPr>
            </w:pPr>
            <w:r w:rsidRPr="00F15DFF">
              <w:rPr>
                <w:rFonts w:ascii="Calibri" w:eastAsia="Calibri" w:hAnsi="Calibri" w:cs="Times New Roman"/>
                <w:lang w:val="en-ZA"/>
              </w:rPr>
              <w:t>These are additional online mechanisms for ‘pushing’ information to interested audiences. Generally, it is accepted protocol that people should ‘subscribe’ to such services before receiving them, so their reach is limited to people who express some initial interest in the topic that the electronic newsletter, RSS Feed, or Social Network device (such as a Fan Page in Facebook) will cover.</w:t>
            </w:r>
          </w:p>
        </w:tc>
        <w:tc>
          <w:tcPr>
            <w:tcW w:w="1959" w:type="pct"/>
          </w:tcPr>
          <w:p w:rsidR="00BB60AD" w:rsidRPr="00F15DFF" w:rsidRDefault="00BB60AD" w:rsidP="00FD54B7">
            <w:pPr>
              <w:rPr>
                <w:rFonts w:ascii="Calibri" w:eastAsia="Calibri" w:hAnsi="Calibri" w:cs="Times New Roman"/>
                <w:lang w:val="en-ZA"/>
              </w:rPr>
            </w:pPr>
          </w:p>
        </w:tc>
      </w:tr>
      <w:tr w:rsidR="00BB60AD" w:rsidRPr="00F15DFF" w:rsidTr="00191455">
        <w:tc>
          <w:tcPr>
            <w:tcW w:w="1081" w:type="pct"/>
            <w:vAlign w:val="center"/>
          </w:tcPr>
          <w:p w:rsidR="00BB60AD" w:rsidRPr="00F15DFF" w:rsidRDefault="00BB60AD" w:rsidP="00DC5E31">
            <w:pPr>
              <w:jc w:val="left"/>
              <w:rPr>
                <w:rFonts w:ascii="Calibri" w:eastAsia="Calibri" w:hAnsi="Calibri" w:cs="Times New Roman"/>
                <w:lang w:val="en-ZA"/>
              </w:rPr>
            </w:pPr>
          </w:p>
        </w:tc>
        <w:tc>
          <w:tcPr>
            <w:tcW w:w="1960" w:type="pct"/>
            <w:vAlign w:val="center"/>
          </w:tcPr>
          <w:p w:rsidR="00BB60AD" w:rsidRPr="00F15DFF" w:rsidRDefault="00BB60AD" w:rsidP="00FD54B7">
            <w:pPr>
              <w:rPr>
                <w:rFonts w:ascii="Calibri" w:eastAsia="Calibri" w:hAnsi="Calibri" w:cs="Times New Roman"/>
                <w:lang w:val="en-ZA"/>
              </w:rPr>
            </w:pPr>
          </w:p>
        </w:tc>
        <w:tc>
          <w:tcPr>
            <w:tcW w:w="1959" w:type="pct"/>
          </w:tcPr>
          <w:p w:rsidR="00BB60AD" w:rsidRPr="00F15DFF" w:rsidRDefault="00BB60AD" w:rsidP="00FD54B7">
            <w:pPr>
              <w:rPr>
                <w:rFonts w:ascii="Calibri" w:eastAsia="Calibri" w:hAnsi="Calibri" w:cs="Times New Roman"/>
                <w:lang w:val="en-ZA"/>
              </w:rPr>
            </w:pPr>
          </w:p>
        </w:tc>
      </w:tr>
      <w:tr w:rsidR="00DC5E31" w:rsidRPr="00F15DFF" w:rsidTr="00DC5E31">
        <w:tc>
          <w:tcPr>
            <w:tcW w:w="5000" w:type="pct"/>
            <w:gridSpan w:val="3"/>
            <w:vAlign w:val="center"/>
          </w:tcPr>
          <w:p w:rsidR="00DC5E31" w:rsidRPr="00DC5E31" w:rsidRDefault="00DC5E31" w:rsidP="00FD54B7">
            <w:pPr>
              <w:rPr>
                <w:rFonts w:ascii="Calibri" w:eastAsia="Calibri" w:hAnsi="Calibri" w:cs="Times New Roman"/>
                <w:b/>
                <w:lang w:val="en-ZA"/>
              </w:rPr>
            </w:pPr>
            <w:r w:rsidRPr="00DC5E31">
              <w:rPr>
                <w:rFonts w:ascii="Calibri" w:eastAsia="Calibri" w:hAnsi="Calibri" w:cs="Times New Roman"/>
                <w:b/>
                <w:lang w:val="en-ZA"/>
              </w:rPr>
              <w:t>Pull Strategies</w:t>
            </w:r>
          </w:p>
        </w:tc>
      </w:tr>
      <w:tr w:rsidR="00191455" w:rsidRPr="00F15DFF" w:rsidTr="00191455">
        <w:tc>
          <w:tcPr>
            <w:tcW w:w="1081" w:type="pct"/>
            <w:vAlign w:val="center"/>
          </w:tcPr>
          <w:p w:rsidR="00191455" w:rsidRPr="00DC5E31" w:rsidRDefault="00DC5E31" w:rsidP="00DC5E31">
            <w:pPr>
              <w:pStyle w:val="ListParagraph"/>
              <w:numPr>
                <w:ilvl w:val="0"/>
                <w:numId w:val="4"/>
              </w:numPr>
              <w:jc w:val="left"/>
              <w:rPr>
                <w:rFonts w:ascii="Calibri" w:eastAsia="Calibri" w:hAnsi="Calibri" w:cs="Times New Roman"/>
                <w:lang w:val="en-ZA"/>
              </w:rPr>
            </w:pPr>
            <w:r>
              <w:rPr>
                <w:rFonts w:ascii="Calibri" w:eastAsia="Calibri" w:hAnsi="Calibri" w:cs="Times New Roman"/>
                <w:lang w:val="en-ZA"/>
              </w:rPr>
              <w:t xml:space="preserve">Capturing of </w:t>
            </w:r>
            <w:r w:rsidR="00191455" w:rsidRPr="00DC5E31">
              <w:rPr>
                <w:rFonts w:ascii="Calibri" w:eastAsia="Calibri" w:hAnsi="Calibri" w:cs="Times New Roman"/>
                <w:lang w:val="en-ZA"/>
              </w:rPr>
              <w:t>Statistical Data</w:t>
            </w:r>
          </w:p>
        </w:tc>
        <w:tc>
          <w:tcPr>
            <w:tcW w:w="1960" w:type="pct"/>
            <w:vAlign w:val="center"/>
          </w:tcPr>
          <w:p w:rsidR="00DC5E31" w:rsidRDefault="00DF67C1" w:rsidP="00DF67C1">
            <w:pPr>
              <w:pStyle w:val="CommentText"/>
              <w:numPr>
                <w:ilvl w:val="0"/>
                <w:numId w:val="8"/>
              </w:numPr>
              <w:jc w:val="left"/>
              <w:rPr>
                <w:sz w:val="22"/>
                <w:szCs w:val="22"/>
              </w:rPr>
            </w:pPr>
            <w:r>
              <w:rPr>
                <w:sz w:val="22"/>
                <w:szCs w:val="22"/>
              </w:rPr>
              <w:t>Require</w:t>
            </w:r>
            <w:r w:rsidR="00DC5E31">
              <w:rPr>
                <w:sz w:val="22"/>
                <w:szCs w:val="22"/>
              </w:rPr>
              <w:t xml:space="preserve"> schools to supply</w:t>
            </w:r>
            <w:r w:rsidR="00191455" w:rsidRPr="00191455">
              <w:rPr>
                <w:sz w:val="22"/>
                <w:szCs w:val="22"/>
              </w:rPr>
              <w:t xml:space="preserve"> statistical data and reporting in electronic format or loaded via a Ministry portal. </w:t>
            </w:r>
          </w:p>
          <w:p w:rsidR="00DC5E31" w:rsidRDefault="00DC5E31" w:rsidP="00DF67C1">
            <w:pPr>
              <w:pStyle w:val="CommentText"/>
              <w:numPr>
                <w:ilvl w:val="0"/>
                <w:numId w:val="8"/>
              </w:numPr>
              <w:jc w:val="left"/>
              <w:rPr>
                <w:sz w:val="22"/>
                <w:szCs w:val="22"/>
              </w:rPr>
            </w:pPr>
            <w:r>
              <w:rPr>
                <w:sz w:val="22"/>
                <w:szCs w:val="22"/>
              </w:rPr>
              <w:t>E</w:t>
            </w:r>
            <w:r w:rsidR="00191455" w:rsidRPr="00DC5E31">
              <w:rPr>
                <w:sz w:val="22"/>
                <w:szCs w:val="22"/>
              </w:rPr>
              <w:t xml:space="preserve">nsure that all reports are printed using a reporting program (not hand written) or that schools start implementing an electronic school administration system </w:t>
            </w:r>
            <w:r>
              <w:rPr>
                <w:sz w:val="22"/>
                <w:szCs w:val="22"/>
              </w:rPr>
              <w:t>etc.</w:t>
            </w:r>
          </w:p>
          <w:p w:rsidR="00191455" w:rsidRPr="00DF67C1" w:rsidRDefault="00DC5E31" w:rsidP="00DF67C1">
            <w:pPr>
              <w:pStyle w:val="CommentText"/>
              <w:jc w:val="left"/>
              <w:rPr>
                <w:sz w:val="22"/>
                <w:szCs w:val="22"/>
              </w:rPr>
            </w:pPr>
            <w:r>
              <w:rPr>
                <w:sz w:val="22"/>
                <w:szCs w:val="22"/>
              </w:rPr>
              <w:t>These strategies place</w:t>
            </w:r>
            <w:r w:rsidR="00191455" w:rsidRPr="00DC5E31">
              <w:rPr>
                <w:sz w:val="22"/>
                <w:szCs w:val="22"/>
              </w:rPr>
              <w:t xml:space="preserve"> pressure on school personnel to invest in training in order to meet requirements.</w:t>
            </w:r>
          </w:p>
        </w:tc>
        <w:tc>
          <w:tcPr>
            <w:tcW w:w="1959" w:type="pct"/>
          </w:tcPr>
          <w:p w:rsidR="00191455" w:rsidRPr="00F15DFF" w:rsidRDefault="00191455" w:rsidP="00FD54B7">
            <w:pPr>
              <w:rPr>
                <w:rFonts w:ascii="Calibri" w:eastAsia="Calibri" w:hAnsi="Calibri" w:cs="Times New Roman"/>
                <w:lang w:val="en-ZA"/>
              </w:rPr>
            </w:pPr>
          </w:p>
        </w:tc>
      </w:tr>
    </w:tbl>
    <w:p w:rsidR="004976B7" w:rsidRPr="00AB28F0" w:rsidRDefault="004976B7" w:rsidP="004976B7">
      <w:pPr>
        <w:pStyle w:val="Heading3"/>
        <w:numPr>
          <w:ilvl w:val="2"/>
          <w:numId w:val="0"/>
        </w:numPr>
        <w:ind w:left="720" w:hanging="720"/>
        <w:rPr>
          <w:lang w:val="en-ZA"/>
        </w:rPr>
      </w:pPr>
      <w:bookmarkStart w:id="5" w:name="_Toc244266069"/>
      <w:r w:rsidRPr="00AB28F0">
        <w:rPr>
          <w:lang w:val="en-ZA"/>
        </w:rPr>
        <w:t xml:space="preserve">Priority Advocacy and </w:t>
      </w:r>
      <w:r w:rsidR="004B46D5">
        <w:rPr>
          <w:lang w:val="en-ZA"/>
        </w:rPr>
        <w:t>Communication</w:t>
      </w:r>
      <w:r w:rsidRPr="00AB28F0">
        <w:rPr>
          <w:lang w:val="en-ZA"/>
        </w:rPr>
        <w:t xml:space="preserve"> Activities</w:t>
      </w:r>
      <w:bookmarkEnd w:id="5"/>
    </w:p>
    <w:p w:rsidR="004976B7" w:rsidRDefault="004976B7" w:rsidP="004976B7">
      <w:pPr>
        <w:rPr>
          <w:lang w:val="en-ZA"/>
        </w:rPr>
      </w:pPr>
      <w:r w:rsidRPr="00AB28F0">
        <w:rPr>
          <w:lang w:val="en-ZA"/>
        </w:rPr>
        <w:t xml:space="preserve">Drawing from the full range of potential </w:t>
      </w:r>
      <w:r>
        <w:rPr>
          <w:lang w:val="en-ZA"/>
        </w:rPr>
        <w:t>Communication and Advocacy</w:t>
      </w:r>
      <w:r w:rsidRPr="00AB28F0">
        <w:rPr>
          <w:lang w:val="en-ZA"/>
        </w:rPr>
        <w:t xml:space="preserve"> activities mapped out in the previous section, the following are proposed as short- to medium-term priorities for </w:t>
      </w:r>
      <w:r w:rsidR="006A67C5">
        <w:rPr>
          <w:lang w:val="en-ZA"/>
        </w:rPr>
        <w:t>Guyana</w:t>
      </w:r>
      <w:r w:rsidRPr="00AB28F0">
        <w:rPr>
          <w:lang w:val="en-ZA"/>
        </w:rPr>
        <w:t xml:space="preserve"> in the areas of advocacy and </w:t>
      </w:r>
      <w:r w:rsidR="00BC354B">
        <w:rPr>
          <w:lang w:val="en-ZA"/>
        </w:rPr>
        <w:t>communication</w:t>
      </w:r>
      <w:r>
        <w:rPr>
          <w:lang w:val="en-ZA"/>
        </w:rPr>
        <w:t xml:space="preserve"> </w:t>
      </w:r>
      <w:r w:rsidR="00C42317">
        <w:rPr>
          <w:lang w:val="en-ZA"/>
        </w:rPr>
        <w:t>covering a period of 12-24 months</w:t>
      </w:r>
      <w:r w:rsidRPr="00AB28F0">
        <w:rPr>
          <w:lang w:val="en-ZA"/>
        </w:rPr>
        <w:t xml:space="preserve">. Although there may be some overlap with existing activities, these are anticipated as dedicated </w:t>
      </w:r>
      <w:r w:rsidR="00762300">
        <w:rPr>
          <w:lang w:val="en-ZA"/>
        </w:rPr>
        <w:t>Communication and Advocacy</w:t>
      </w:r>
      <w:r w:rsidRPr="00AB28F0">
        <w:rPr>
          <w:lang w:val="en-ZA"/>
        </w:rPr>
        <w:t xml:space="preserve"> activities. </w:t>
      </w:r>
    </w:p>
    <w:p w:rsidR="005E2A99" w:rsidRDefault="005E2A99" w:rsidP="004976B7">
      <w:pPr>
        <w:rPr>
          <w:lang w:val="en-ZA"/>
        </w:rPr>
      </w:pPr>
    </w:p>
    <w:p w:rsidR="00135141" w:rsidRPr="00191455" w:rsidRDefault="005E2A99" w:rsidP="004976B7">
      <w:pPr>
        <w:rPr>
          <w:b/>
          <w:i/>
          <w:sz w:val="24"/>
          <w:szCs w:val="24"/>
          <w:lang w:val="en-ZA"/>
        </w:rPr>
      </w:pPr>
      <w:r w:rsidRPr="005E2A99">
        <w:rPr>
          <w:b/>
          <w:i/>
          <w:sz w:val="24"/>
          <w:szCs w:val="24"/>
          <w:lang w:val="en-ZA"/>
        </w:rPr>
        <w:t>Activities in Guyana</w:t>
      </w:r>
    </w:p>
    <w:p w:rsidR="004976B7" w:rsidRPr="00AB28F0" w:rsidRDefault="004976B7" w:rsidP="004976B7">
      <w:pPr>
        <w:pStyle w:val="Heading4"/>
        <w:rPr>
          <w:lang w:val="en-ZA"/>
        </w:rPr>
      </w:pPr>
      <w:r w:rsidRPr="00AB28F0">
        <w:rPr>
          <w:lang w:val="en-ZA"/>
        </w:rPr>
        <w:t>Advocacy Materials and Communication Activities</w:t>
      </w:r>
    </w:p>
    <w:p w:rsidR="00A81E26" w:rsidRDefault="004976B7" w:rsidP="00A81E26">
      <w:pPr>
        <w:rPr>
          <w:lang w:val="en-ZA"/>
        </w:rPr>
      </w:pPr>
      <w:r w:rsidRPr="00AB28F0">
        <w:rPr>
          <w:lang w:val="en-ZA"/>
        </w:rPr>
        <w:t xml:space="preserve">It is proposed that the following key advocacy materials be developed during the first phase of implementation </w:t>
      </w:r>
      <w:r w:rsidR="00135141">
        <w:rPr>
          <w:lang w:val="en-ZA"/>
        </w:rPr>
        <w:t xml:space="preserve">of the </w:t>
      </w:r>
      <w:r w:rsidR="006A67C5">
        <w:rPr>
          <w:lang w:val="en-ZA"/>
        </w:rPr>
        <w:t>Advocacy and Communications</w:t>
      </w:r>
      <w:r w:rsidRPr="00AB28F0">
        <w:rPr>
          <w:lang w:val="en-ZA"/>
        </w:rPr>
        <w:t xml:space="preserve"> Strategy:</w:t>
      </w:r>
    </w:p>
    <w:p w:rsidR="00A81E26" w:rsidRDefault="006A67C5" w:rsidP="003915A1">
      <w:pPr>
        <w:pStyle w:val="ListParagraph"/>
        <w:numPr>
          <w:ilvl w:val="0"/>
          <w:numId w:val="13"/>
        </w:numPr>
        <w:rPr>
          <w:lang w:val="en-ZA"/>
        </w:rPr>
      </w:pPr>
      <w:r w:rsidRPr="00A81E26">
        <w:rPr>
          <w:i/>
          <w:lang w:val="en-ZA"/>
        </w:rPr>
        <w:t>B</w:t>
      </w:r>
      <w:r w:rsidR="004976B7" w:rsidRPr="00A81E26">
        <w:rPr>
          <w:i/>
          <w:lang w:val="en-ZA"/>
        </w:rPr>
        <w:t>rochure</w:t>
      </w:r>
      <w:r w:rsidRPr="00A81E26">
        <w:rPr>
          <w:i/>
          <w:lang w:val="en-ZA"/>
        </w:rPr>
        <w:t>s</w:t>
      </w:r>
      <w:r w:rsidR="004976B7" w:rsidRPr="00A81E26">
        <w:rPr>
          <w:lang w:val="en-ZA"/>
        </w:rPr>
        <w:t xml:space="preserve">, outlining </w:t>
      </w:r>
      <w:r w:rsidRPr="00A81E26">
        <w:rPr>
          <w:lang w:val="en-ZA"/>
        </w:rPr>
        <w:t>the Professional Development Framework options available to teachers in Guyana, and distributed to schools.</w:t>
      </w:r>
      <w:r w:rsidR="004976B7" w:rsidRPr="00A81E26">
        <w:rPr>
          <w:lang w:val="en-ZA"/>
        </w:rPr>
        <w:t xml:space="preserve"> </w:t>
      </w:r>
    </w:p>
    <w:p w:rsidR="00A81E26" w:rsidRDefault="00A81E26" w:rsidP="00A81E26">
      <w:pPr>
        <w:pStyle w:val="ListParagraph"/>
        <w:ind w:left="360"/>
        <w:rPr>
          <w:lang w:val="en-ZA"/>
        </w:rPr>
      </w:pPr>
    </w:p>
    <w:p w:rsidR="004976B7" w:rsidRPr="00A81E26" w:rsidRDefault="00A81E26" w:rsidP="003915A1">
      <w:pPr>
        <w:pStyle w:val="ListParagraph"/>
        <w:numPr>
          <w:ilvl w:val="0"/>
          <w:numId w:val="13"/>
        </w:numPr>
        <w:rPr>
          <w:lang w:val="en-ZA"/>
        </w:rPr>
      </w:pPr>
      <w:r w:rsidRPr="00A81E26">
        <w:rPr>
          <w:i/>
          <w:lang w:val="en-ZA"/>
        </w:rPr>
        <w:lastRenderedPageBreak/>
        <w:t>Showcase</w:t>
      </w:r>
      <w:r w:rsidR="004976B7" w:rsidRPr="00A81E26">
        <w:rPr>
          <w:i/>
          <w:lang w:val="en-ZA"/>
        </w:rPr>
        <w:t xml:space="preserve"> </w:t>
      </w:r>
      <w:r w:rsidRPr="00A81E26">
        <w:rPr>
          <w:i/>
          <w:lang w:val="en-ZA"/>
        </w:rPr>
        <w:t>M</w:t>
      </w:r>
      <w:r w:rsidR="00B94C0B">
        <w:rPr>
          <w:i/>
          <w:lang w:val="en-ZA"/>
        </w:rPr>
        <w:t>aterials. T</w:t>
      </w:r>
      <w:r w:rsidR="004976B7" w:rsidRPr="00A81E26">
        <w:rPr>
          <w:lang w:val="en-ZA"/>
        </w:rPr>
        <w:t>his is envisaged as a series of brochures – released both as printed A4 booklets (4 – 8 pages) and downloadable PDF files – that showcase key a</w:t>
      </w:r>
      <w:r w:rsidRPr="00A81E26">
        <w:rPr>
          <w:lang w:val="en-ZA"/>
        </w:rPr>
        <w:t>spects of successful practice of</w:t>
      </w:r>
      <w:r w:rsidR="004976B7" w:rsidRPr="00A81E26">
        <w:rPr>
          <w:lang w:val="en-ZA"/>
        </w:rPr>
        <w:t xml:space="preserve"> </w:t>
      </w:r>
      <w:r w:rsidR="006A67C5" w:rsidRPr="00A81E26">
        <w:rPr>
          <w:lang w:val="en-ZA"/>
        </w:rPr>
        <w:t>ICT integration in Education</w:t>
      </w:r>
      <w:r w:rsidR="004976B7" w:rsidRPr="00A81E26">
        <w:rPr>
          <w:lang w:val="en-ZA"/>
        </w:rPr>
        <w:t xml:space="preserve">. These booklets could be complemented by an audio file released via </w:t>
      </w:r>
      <w:r w:rsidRPr="00A81E26">
        <w:rPr>
          <w:lang w:val="en-ZA"/>
        </w:rPr>
        <w:t xml:space="preserve">an accompanying </w:t>
      </w:r>
      <w:r w:rsidR="004976B7" w:rsidRPr="00A81E26">
        <w:rPr>
          <w:lang w:val="en-ZA"/>
        </w:rPr>
        <w:t>website in the form of a podcast</w:t>
      </w:r>
      <w:r w:rsidR="004976B7" w:rsidRPr="00AB28F0">
        <w:rPr>
          <w:rStyle w:val="FootnoteReference"/>
          <w:lang w:val="en-ZA"/>
        </w:rPr>
        <w:footnoteReference w:id="6"/>
      </w:r>
      <w:r w:rsidR="004976B7" w:rsidRPr="00A81E26">
        <w:rPr>
          <w:lang w:val="en-ZA"/>
        </w:rPr>
        <w:t xml:space="preserve"> (with the audio files presenting interviews with key people responsible for the successful practice). These showcases are anticipated as resources that highlight success stories of different kinds, intended to communicate a common central message that success is possible in </w:t>
      </w:r>
      <w:r w:rsidRPr="00A81E26">
        <w:rPr>
          <w:lang w:val="en-ZA"/>
        </w:rPr>
        <w:t xml:space="preserve">ICT integration in schools </w:t>
      </w:r>
      <w:r w:rsidR="004976B7" w:rsidRPr="00A81E26">
        <w:rPr>
          <w:lang w:val="en-ZA"/>
        </w:rPr>
        <w:t xml:space="preserve">and that there are successful models that can be replicated across the continent. </w:t>
      </w:r>
    </w:p>
    <w:p w:rsidR="004976B7" w:rsidRPr="00AB28F0" w:rsidRDefault="004976B7" w:rsidP="004976B7">
      <w:pPr>
        <w:ind w:left="360"/>
        <w:rPr>
          <w:lang w:val="en-ZA"/>
        </w:rPr>
      </w:pPr>
    </w:p>
    <w:p w:rsidR="00B94C0B" w:rsidRDefault="004976B7" w:rsidP="003915A1">
      <w:pPr>
        <w:numPr>
          <w:ilvl w:val="0"/>
          <w:numId w:val="13"/>
        </w:numPr>
        <w:rPr>
          <w:lang w:val="en-ZA"/>
        </w:rPr>
      </w:pPr>
      <w:r w:rsidRPr="00AB28F0">
        <w:rPr>
          <w:i/>
          <w:lang w:val="en-ZA"/>
        </w:rPr>
        <w:t>Press Releases</w:t>
      </w:r>
      <w:r w:rsidRPr="00AB28F0">
        <w:rPr>
          <w:lang w:val="en-ZA"/>
        </w:rPr>
        <w:t>. Press releases would not be released against a regular schedule, but</w:t>
      </w:r>
      <w:r w:rsidR="00A81E26">
        <w:rPr>
          <w:lang w:val="en-ZA"/>
        </w:rPr>
        <w:t xml:space="preserve"> rather as circumstances demand. </w:t>
      </w:r>
      <w:r w:rsidRPr="00AB28F0">
        <w:rPr>
          <w:lang w:val="en-ZA"/>
        </w:rPr>
        <w:t xml:space="preserve">Key to success of this strategy will be establishment of a database of journalists in newspaper, magazine, television, radio, and web-based media channels who might be interested in developing stories based on press releases. These would include journalists at national, regional, and global levels. </w:t>
      </w:r>
    </w:p>
    <w:p w:rsidR="00B94C0B" w:rsidRDefault="00B94C0B" w:rsidP="00B94C0B">
      <w:pPr>
        <w:pStyle w:val="ListParagraph"/>
        <w:rPr>
          <w:lang w:val="en-ZA"/>
        </w:rPr>
      </w:pPr>
    </w:p>
    <w:p w:rsidR="00B94C0B" w:rsidRDefault="00B94C0B" w:rsidP="003915A1">
      <w:pPr>
        <w:numPr>
          <w:ilvl w:val="0"/>
          <w:numId w:val="13"/>
        </w:numPr>
        <w:jc w:val="left"/>
        <w:rPr>
          <w:lang w:val="en-ZA"/>
        </w:rPr>
      </w:pPr>
      <w:r w:rsidRPr="00B94C0B">
        <w:rPr>
          <w:i/>
          <w:lang w:val="en-ZA"/>
        </w:rPr>
        <w:t>TV Media</w:t>
      </w:r>
      <w:r>
        <w:rPr>
          <w:lang w:val="en-ZA"/>
        </w:rPr>
        <w:t xml:space="preserve">. Advocacy on dedicated </w:t>
      </w:r>
      <w:r w:rsidRPr="00B94C0B">
        <w:rPr>
          <w:lang w:val="en-ZA"/>
        </w:rPr>
        <w:t>TV channel</w:t>
      </w:r>
      <w:r>
        <w:rPr>
          <w:lang w:val="en-ZA"/>
        </w:rPr>
        <w:t>. This includes c</w:t>
      </w:r>
      <w:r w:rsidRPr="00B94C0B">
        <w:rPr>
          <w:lang w:val="en-ZA"/>
        </w:rPr>
        <w:t xml:space="preserve">ommunication of key messages and </w:t>
      </w:r>
      <w:r>
        <w:rPr>
          <w:lang w:val="en-ZA"/>
        </w:rPr>
        <w:t xml:space="preserve">highlighting </w:t>
      </w:r>
      <w:r w:rsidRPr="00B94C0B">
        <w:rPr>
          <w:lang w:val="en-ZA"/>
        </w:rPr>
        <w:t xml:space="preserve">the use </w:t>
      </w:r>
      <w:r>
        <w:rPr>
          <w:lang w:val="en-ZA"/>
        </w:rPr>
        <w:t xml:space="preserve">and importance </w:t>
      </w:r>
      <w:r w:rsidRPr="00B94C0B">
        <w:rPr>
          <w:lang w:val="en-ZA"/>
        </w:rPr>
        <w:t>of ICT in the classroom.</w:t>
      </w:r>
    </w:p>
    <w:p w:rsidR="00E56500" w:rsidRDefault="00E56500" w:rsidP="00E56500">
      <w:pPr>
        <w:pStyle w:val="ListParagraph"/>
        <w:rPr>
          <w:lang w:val="en-ZA"/>
        </w:rPr>
      </w:pPr>
    </w:p>
    <w:p w:rsidR="00E56500" w:rsidRPr="00307506" w:rsidRDefault="00E56500" w:rsidP="003915A1">
      <w:pPr>
        <w:pStyle w:val="ListParagraph"/>
        <w:numPr>
          <w:ilvl w:val="0"/>
          <w:numId w:val="13"/>
        </w:numPr>
        <w:rPr>
          <w:lang w:val="en-ZA"/>
        </w:rPr>
      </w:pPr>
      <w:r w:rsidRPr="00307506">
        <w:rPr>
          <w:i/>
          <w:lang w:val="en-ZA"/>
        </w:rPr>
        <w:t>Advocacy though websites</w:t>
      </w:r>
      <w:r w:rsidRPr="00307506">
        <w:rPr>
          <w:lang w:val="en-ZA"/>
        </w:rPr>
        <w:t xml:space="preserve">. Sharing of informational resources through websites. Useful for mass media consumption or for targeted communication. </w:t>
      </w:r>
      <w:r w:rsidR="003005F8" w:rsidRPr="00307506">
        <w:rPr>
          <w:lang w:val="en-ZA"/>
        </w:rPr>
        <w:t>Below is a list of specific activities to be conducted through a website interface:</w:t>
      </w:r>
    </w:p>
    <w:p w:rsidR="002C6FC4" w:rsidRPr="00307506" w:rsidRDefault="002C6FC4" w:rsidP="002C6FC4">
      <w:pPr>
        <w:pStyle w:val="ListParagraph"/>
        <w:rPr>
          <w:lang w:val="en-ZA"/>
        </w:rPr>
      </w:pPr>
    </w:p>
    <w:p w:rsidR="00610404" w:rsidRPr="00307506" w:rsidRDefault="00610404" w:rsidP="00610404">
      <w:pPr>
        <w:pStyle w:val="ListParagraph"/>
        <w:numPr>
          <w:ilvl w:val="1"/>
          <w:numId w:val="13"/>
        </w:numPr>
        <w:rPr>
          <w:lang w:val="en-ZA"/>
        </w:rPr>
      </w:pPr>
      <w:r w:rsidRPr="00307506">
        <w:rPr>
          <w:lang w:val="en-ZA"/>
        </w:rPr>
        <w:t>P</w:t>
      </w:r>
      <w:r w:rsidR="00307506">
        <w:rPr>
          <w:lang w:val="en-ZA"/>
        </w:rPr>
        <w:t>resenting</w:t>
      </w:r>
      <w:r w:rsidRPr="00307506">
        <w:rPr>
          <w:lang w:val="en-ZA"/>
        </w:rPr>
        <w:t xml:space="preserve"> </w:t>
      </w:r>
      <w:r w:rsidR="00307506">
        <w:rPr>
          <w:lang w:val="en-ZA"/>
        </w:rPr>
        <w:t>and disseminating</w:t>
      </w:r>
      <w:r w:rsidR="00840DBF">
        <w:rPr>
          <w:lang w:val="en-ZA"/>
        </w:rPr>
        <w:t xml:space="preserve"> </w:t>
      </w:r>
      <w:r w:rsidRPr="00307506">
        <w:rPr>
          <w:lang w:val="en-ZA"/>
        </w:rPr>
        <w:t>advocacy materials</w:t>
      </w:r>
      <w:r w:rsidR="00840DBF">
        <w:rPr>
          <w:lang w:val="en-ZA"/>
        </w:rPr>
        <w:t xml:space="preserve"> (brochures, press releases etc)</w:t>
      </w:r>
      <w:r w:rsidRPr="00307506">
        <w:rPr>
          <w:lang w:val="en-ZA"/>
        </w:rPr>
        <w:t xml:space="preserve">, </w:t>
      </w:r>
      <w:r w:rsidR="00307506" w:rsidRPr="00307506">
        <w:rPr>
          <w:lang w:val="en-ZA"/>
        </w:rPr>
        <w:t xml:space="preserve">which could be </w:t>
      </w:r>
      <w:r w:rsidRPr="00307506">
        <w:rPr>
          <w:lang w:val="en-ZA"/>
        </w:rPr>
        <w:t xml:space="preserve">customised and presented in slightly different </w:t>
      </w:r>
      <w:r w:rsidR="00307506" w:rsidRPr="00307506">
        <w:rPr>
          <w:lang w:val="en-ZA"/>
        </w:rPr>
        <w:t>formats and variations</w:t>
      </w:r>
      <w:r w:rsidRPr="00307506">
        <w:rPr>
          <w:lang w:val="en-ZA"/>
        </w:rPr>
        <w:t xml:space="preserve"> so as to appeal to a </w:t>
      </w:r>
      <w:r w:rsidR="00307506" w:rsidRPr="00307506">
        <w:rPr>
          <w:lang w:val="en-ZA"/>
        </w:rPr>
        <w:t>selection</w:t>
      </w:r>
      <w:r w:rsidRPr="00307506">
        <w:rPr>
          <w:lang w:val="en-ZA"/>
        </w:rPr>
        <w:t xml:space="preserve"> of target audiences.</w:t>
      </w:r>
    </w:p>
    <w:p w:rsidR="00610404" w:rsidRPr="00307506" w:rsidRDefault="00610404" w:rsidP="00610404">
      <w:pPr>
        <w:pStyle w:val="ListParagraph"/>
        <w:numPr>
          <w:ilvl w:val="1"/>
          <w:numId w:val="13"/>
        </w:numPr>
        <w:rPr>
          <w:lang w:val="en-ZA"/>
        </w:rPr>
      </w:pPr>
      <w:r w:rsidRPr="00307506">
        <w:rPr>
          <w:lang w:val="en-ZA"/>
        </w:rPr>
        <w:t>Guiding users to access specific information and advocacy materials from a variety of access points from within the website interface itself (homepage, project pages ,contact us pages)</w:t>
      </w:r>
    </w:p>
    <w:p w:rsidR="00610404" w:rsidRPr="00307506" w:rsidRDefault="00610404" w:rsidP="00610404">
      <w:pPr>
        <w:pStyle w:val="ListParagraph"/>
        <w:numPr>
          <w:ilvl w:val="1"/>
          <w:numId w:val="13"/>
        </w:numPr>
        <w:rPr>
          <w:lang w:val="en-ZA"/>
        </w:rPr>
      </w:pPr>
      <w:r w:rsidRPr="00307506">
        <w:rPr>
          <w:lang w:val="en-ZA"/>
        </w:rPr>
        <w:t>Eliciting feedback from users as to specific information they might require from the contact pages.</w:t>
      </w:r>
    </w:p>
    <w:p w:rsidR="00307506" w:rsidRDefault="00307506" w:rsidP="00610404">
      <w:pPr>
        <w:pStyle w:val="ListParagraph"/>
        <w:numPr>
          <w:ilvl w:val="1"/>
          <w:numId w:val="13"/>
        </w:numPr>
        <w:rPr>
          <w:lang w:val="en-ZA"/>
        </w:rPr>
      </w:pPr>
      <w:r>
        <w:rPr>
          <w:lang w:val="en-ZA"/>
        </w:rPr>
        <w:t>Integration of online forums and discussion lists to enhance communication amongst users and target audiences.</w:t>
      </w:r>
    </w:p>
    <w:p w:rsidR="00610404" w:rsidRDefault="00307506" w:rsidP="00610404">
      <w:pPr>
        <w:pStyle w:val="ListParagraph"/>
        <w:numPr>
          <w:ilvl w:val="1"/>
          <w:numId w:val="13"/>
        </w:numPr>
        <w:rPr>
          <w:lang w:val="en-ZA"/>
        </w:rPr>
      </w:pPr>
      <w:r>
        <w:rPr>
          <w:lang w:val="en-ZA"/>
        </w:rPr>
        <w:t>Integrating</w:t>
      </w:r>
      <w:r w:rsidR="00610404" w:rsidRPr="00307506">
        <w:rPr>
          <w:lang w:val="en-ZA"/>
        </w:rPr>
        <w:t xml:space="preserve"> a variety of supporting </w:t>
      </w:r>
      <w:r>
        <w:rPr>
          <w:lang w:val="en-ZA"/>
        </w:rPr>
        <w:t xml:space="preserve">social networking </w:t>
      </w:r>
      <w:r w:rsidR="00610404" w:rsidRPr="00307506">
        <w:rPr>
          <w:lang w:val="en-ZA"/>
        </w:rPr>
        <w:t xml:space="preserve">tools to help disseminate informational materials. For example, </w:t>
      </w:r>
      <w:proofErr w:type="spellStart"/>
      <w:r w:rsidR="00610404" w:rsidRPr="00307506">
        <w:rPr>
          <w:lang w:val="en-ZA"/>
        </w:rPr>
        <w:t>FaceBook</w:t>
      </w:r>
      <w:proofErr w:type="spellEnd"/>
      <w:r w:rsidR="00610404" w:rsidRPr="00307506">
        <w:rPr>
          <w:lang w:val="en-ZA"/>
        </w:rPr>
        <w:t xml:space="preserve"> Fan Pages, </w:t>
      </w:r>
      <w:r>
        <w:rPr>
          <w:lang w:val="en-ZA"/>
        </w:rPr>
        <w:t>Twitter, videos uploaded to You</w:t>
      </w:r>
      <w:r w:rsidR="00610404" w:rsidRPr="00307506">
        <w:rPr>
          <w:lang w:val="en-ZA"/>
        </w:rPr>
        <w:t xml:space="preserve">Tube and </w:t>
      </w:r>
      <w:r w:rsidRPr="00307506">
        <w:rPr>
          <w:lang w:val="en-ZA"/>
        </w:rPr>
        <w:t>photos uploaded to Flickr.</w:t>
      </w:r>
    </w:p>
    <w:p w:rsidR="001E3B6B" w:rsidRDefault="001E3B6B" w:rsidP="001E3B6B">
      <w:pPr>
        <w:pStyle w:val="Heading4"/>
        <w:rPr>
          <w:lang w:val="en-ZA"/>
        </w:rPr>
      </w:pPr>
      <w:r w:rsidRPr="00AB28F0">
        <w:rPr>
          <w:lang w:val="en-ZA"/>
        </w:rPr>
        <w:t>Presentations</w:t>
      </w:r>
      <w:r>
        <w:rPr>
          <w:lang w:val="en-ZA"/>
        </w:rPr>
        <w:t xml:space="preserve"> and Workshops</w:t>
      </w:r>
    </w:p>
    <w:p w:rsidR="001E3B6B" w:rsidRDefault="001E3B6B" w:rsidP="001E3B6B">
      <w:pPr>
        <w:rPr>
          <w:lang w:val="en-ZA"/>
        </w:rPr>
      </w:pPr>
      <w:r w:rsidRPr="00AB28F0">
        <w:rPr>
          <w:lang w:val="en-ZA"/>
        </w:rPr>
        <w:t xml:space="preserve">In addition to production and circulation of advocacy materials, the </w:t>
      </w:r>
      <w:r>
        <w:rPr>
          <w:lang w:val="en-ZA"/>
        </w:rPr>
        <w:t xml:space="preserve">Guyana Communication and Advocacy Strategy for </w:t>
      </w:r>
      <w:r w:rsidR="00BC354B">
        <w:rPr>
          <w:lang w:val="en-ZA"/>
        </w:rPr>
        <w:t xml:space="preserve">the </w:t>
      </w:r>
      <w:r>
        <w:rPr>
          <w:lang w:val="en-ZA"/>
        </w:rPr>
        <w:t>Teacher ICT Professional Development</w:t>
      </w:r>
      <w:r w:rsidRPr="00AB28F0">
        <w:rPr>
          <w:lang w:val="en-ZA"/>
        </w:rPr>
        <w:t xml:space="preserve"> Strategy needs to include an ongoing focus on face-to-face interaction with the intended target audiences to discuss key issues and advocate core advocacy messages. </w:t>
      </w:r>
    </w:p>
    <w:p w:rsidR="001E3B6B" w:rsidRDefault="001E3B6B" w:rsidP="001E3B6B">
      <w:pPr>
        <w:rPr>
          <w:lang w:val="en-ZA"/>
        </w:rPr>
      </w:pPr>
    </w:p>
    <w:p w:rsidR="001E3B6B" w:rsidRDefault="001E3B6B" w:rsidP="001E3B6B">
      <w:pPr>
        <w:pStyle w:val="ListParagraph"/>
        <w:numPr>
          <w:ilvl w:val="0"/>
          <w:numId w:val="13"/>
        </w:numPr>
        <w:rPr>
          <w:lang w:val="en-ZA"/>
        </w:rPr>
      </w:pPr>
      <w:r w:rsidRPr="00A81E26">
        <w:rPr>
          <w:i/>
          <w:lang w:val="en-ZA"/>
        </w:rPr>
        <w:t xml:space="preserve">Showcasing </w:t>
      </w:r>
      <w:proofErr w:type="spellStart"/>
      <w:r w:rsidRPr="00A81E26">
        <w:rPr>
          <w:i/>
          <w:lang w:val="en-ZA"/>
        </w:rPr>
        <w:t>roadshows</w:t>
      </w:r>
      <w:proofErr w:type="spellEnd"/>
      <w:r w:rsidRPr="00A81E26">
        <w:rPr>
          <w:lang w:val="en-ZA"/>
        </w:rPr>
        <w:t xml:space="preserve"> (visits to </w:t>
      </w:r>
      <w:r w:rsidR="00130495">
        <w:rPr>
          <w:lang w:val="en-ZA"/>
        </w:rPr>
        <w:t>regional centres</w:t>
      </w:r>
      <w:r w:rsidRPr="00A81E26">
        <w:rPr>
          <w:lang w:val="en-ZA"/>
        </w:rPr>
        <w:t>)</w:t>
      </w:r>
      <w:r>
        <w:rPr>
          <w:lang w:val="en-ZA"/>
        </w:rPr>
        <w:t xml:space="preserve"> </w:t>
      </w:r>
      <w:r w:rsidRPr="00A81E26">
        <w:rPr>
          <w:lang w:val="en-ZA"/>
        </w:rPr>
        <w:t>- These road shows should generally be organized by institutions as part of their overall marketing strategy and will highlight the importance of the integration of ICT in Education. It may be that national Ministries of Education might also participate in such activities.</w:t>
      </w:r>
    </w:p>
    <w:p w:rsidR="001E3B6B" w:rsidRPr="00A81E26" w:rsidRDefault="001E3B6B" w:rsidP="001E3B6B">
      <w:pPr>
        <w:pStyle w:val="ListParagraph"/>
        <w:ind w:left="360"/>
        <w:rPr>
          <w:lang w:val="en-ZA"/>
        </w:rPr>
      </w:pPr>
    </w:p>
    <w:p w:rsidR="001E3B6B" w:rsidRPr="00A81E26" w:rsidRDefault="001E3B6B" w:rsidP="001E3B6B">
      <w:pPr>
        <w:pStyle w:val="ListParagraph"/>
        <w:numPr>
          <w:ilvl w:val="0"/>
          <w:numId w:val="13"/>
        </w:numPr>
        <w:rPr>
          <w:lang w:val="en-ZA"/>
        </w:rPr>
      </w:pPr>
      <w:r w:rsidRPr="00A81E26">
        <w:rPr>
          <w:i/>
          <w:lang w:val="en-ZA"/>
        </w:rPr>
        <w:t>Change management Workshops</w:t>
      </w:r>
      <w:r>
        <w:rPr>
          <w:lang w:val="en-ZA"/>
        </w:rPr>
        <w:t xml:space="preserve">- </w:t>
      </w:r>
      <w:r w:rsidRPr="00A81E26">
        <w:rPr>
          <w:lang w:val="en-ZA"/>
        </w:rPr>
        <w:t xml:space="preserve">Workshops presented to School Management (Principals, ICT Coordinators) on the use of ICTs in schools for both teaching and learning. Workshops have the </w:t>
      </w:r>
      <w:r w:rsidRPr="00A81E26">
        <w:rPr>
          <w:lang w:val="en-ZA"/>
        </w:rPr>
        <w:lastRenderedPageBreak/>
        <w:t>benefit of providing good opportunities for interaction, as they will generally run over one or more days. Travel and time costs associated with workshops are generally high, and also require careful planning, preparation, and facilitation to be effective.</w:t>
      </w:r>
    </w:p>
    <w:p w:rsidR="001E3B6B" w:rsidRPr="00AB28F0" w:rsidRDefault="001E3B6B" w:rsidP="001E3B6B">
      <w:pPr>
        <w:pStyle w:val="Heading4"/>
        <w:rPr>
          <w:lang w:val="en-ZA"/>
        </w:rPr>
      </w:pPr>
      <w:r w:rsidRPr="00AB28F0">
        <w:rPr>
          <w:lang w:val="en-ZA"/>
        </w:rPr>
        <w:t>Advocacy Capacity-Building</w:t>
      </w:r>
    </w:p>
    <w:p w:rsidR="001E3B6B" w:rsidRDefault="001E3B6B" w:rsidP="001E3B6B">
      <w:pPr>
        <w:rPr>
          <w:szCs w:val="24"/>
          <w:lang w:val="en-ZA"/>
        </w:rPr>
      </w:pPr>
      <w:r w:rsidRPr="00AB28F0">
        <w:rPr>
          <w:lang w:val="en-ZA"/>
        </w:rPr>
        <w:t xml:space="preserve">Finally, it is essential that there be strategic engagement with </w:t>
      </w:r>
      <w:r>
        <w:rPr>
          <w:szCs w:val="24"/>
          <w:lang w:val="en-ZA"/>
        </w:rPr>
        <w:t>key Teacher Education Providers (</w:t>
      </w:r>
      <w:r>
        <w:rPr>
          <w:lang w:val="en-ZA"/>
        </w:rPr>
        <w:t xml:space="preserve">Cyril Potter College of Education, University of Guyana and National Centre for Educational Resource Development to develop capacity in </w:t>
      </w:r>
      <w:r>
        <w:rPr>
          <w:szCs w:val="24"/>
          <w:lang w:val="en-ZA"/>
        </w:rPr>
        <w:t>communicating new knowledge and innovations regarding Teacher Professional development offerings effectively.</w:t>
      </w:r>
    </w:p>
    <w:p w:rsidR="00191455" w:rsidRDefault="00191455" w:rsidP="001E3B6B">
      <w:pPr>
        <w:rPr>
          <w:szCs w:val="24"/>
          <w:lang w:val="en-ZA"/>
        </w:rPr>
      </w:pPr>
    </w:p>
    <w:p w:rsidR="00191455" w:rsidRPr="00191455" w:rsidRDefault="00191455" w:rsidP="00191455">
      <w:pPr>
        <w:rPr>
          <w:b/>
          <w:i/>
          <w:sz w:val="24"/>
          <w:szCs w:val="24"/>
          <w:lang w:val="en-ZA"/>
        </w:rPr>
      </w:pPr>
      <w:r w:rsidRPr="005E2A99">
        <w:rPr>
          <w:b/>
          <w:i/>
          <w:sz w:val="24"/>
          <w:szCs w:val="24"/>
          <w:lang w:val="en-ZA"/>
        </w:rPr>
        <w:t xml:space="preserve">Activities </w:t>
      </w:r>
      <w:r w:rsidR="00DC5E31">
        <w:rPr>
          <w:b/>
          <w:i/>
          <w:sz w:val="24"/>
          <w:szCs w:val="24"/>
          <w:lang w:val="en-ZA"/>
        </w:rPr>
        <w:t>o</w:t>
      </w:r>
      <w:r>
        <w:rPr>
          <w:b/>
          <w:i/>
          <w:sz w:val="24"/>
          <w:szCs w:val="24"/>
          <w:lang w:val="en-ZA"/>
        </w:rPr>
        <w:t>utside</w:t>
      </w:r>
      <w:r w:rsidRPr="005E2A99">
        <w:rPr>
          <w:b/>
          <w:i/>
          <w:sz w:val="24"/>
          <w:szCs w:val="24"/>
          <w:lang w:val="en-ZA"/>
        </w:rPr>
        <w:t xml:space="preserve"> Guyana</w:t>
      </w:r>
    </w:p>
    <w:p w:rsidR="00135141" w:rsidRDefault="00135141" w:rsidP="00135141">
      <w:pPr>
        <w:rPr>
          <w:b/>
          <w:sz w:val="24"/>
          <w:szCs w:val="24"/>
          <w:lang w:val="en-ZA"/>
        </w:rPr>
      </w:pPr>
    </w:p>
    <w:p w:rsidR="00135141" w:rsidRDefault="00135141" w:rsidP="00135141">
      <w:pPr>
        <w:rPr>
          <w:lang w:val="en-ZA"/>
        </w:rPr>
      </w:pPr>
      <w:r w:rsidRPr="00135141">
        <w:rPr>
          <w:lang w:val="en-ZA"/>
        </w:rPr>
        <w:t xml:space="preserve">COMSEC and COL will be </w:t>
      </w:r>
      <w:r w:rsidR="000C4F6B">
        <w:rPr>
          <w:lang w:val="en-ZA"/>
        </w:rPr>
        <w:t>responsible for</w:t>
      </w:r>
      <w:r w:rsidRPr="00135141">
        <w:rPr>
          <w:lang w:val="en-ZA"/>
        </w:rPr>
        <w:t xml:space="preserve"> replicating </w:t>
      </w:r>
      <w:r w:rsidR="000C4F6B">
        <w:rPr>
          <w:lang w:val="en-ZA"/>
        </w:rPr>
        <w:t xml:space="preserve">and communicating the success of </w:t>
      </w:r>
      <w:r w:rsidRPr="00135141">
        <w:rPr>
          <w:lang w:val="en-ZA"/>
        </w:rPr>
        <w:t>the Guyana Prof</w:t>
      </w:r>
      <w:r w:rsidR="000C4F6B">
        <w:rPr>
          <w:lang w:val="en-ZA"/>
        </w:rPr>
        <w:t>essional Development Strategy to</w:t>
      </w:r>
      <w:r w:rsidRPr="00135141">
        <w:rPr>
          <w:lang w:val="en-ZA"/>
        </w:rPr>
        <w:t xml:space="preserve"> other countries</w:t>
      </w:r>
      <w:r w:rsidR="00F51C22">
        <w:rPr>
          <w:lang w:val="en-ZA"/>
        </w:rPr>
        <w:t xml:space="preserve"> in the Caribbean</w:t>
      </w:r>
      <w:r w:rsidRPr="00135141">
        <w:rPr>
          <w:lang w:val="en-ZA"/>
        </w:rPr>
        <w:t>.</w:t>
      </w:r>
      <w:r w:rsidR="000C4F6B">
        <w:rPr>
          <w:lang w:val="en-ZA"/>
        </w:rPr>
        <w:t xml:space="preserve"> Activities may include:</w:t>
      </w:r>
    </w:p>
    <w:p w:rsidR="000C4F6B" w:rsidRPr="00AB28F0" w:rsidRDefault="000C4F6B" w:rsidP="000C4F6B">
      <w:pPr>
        <w:pStyle w:val="Heading4"/>
        <w:rPr>
          <w:lang w:val="en-ZA"/>
        </w:rPr>
      </w:pPr>
      <w:r w:rsidRPr="00AB28F0">
        <w:rPr>
          <w:lang w:val="en-ZA"/>
        </w:rPr>
        <w:t>Advocacy Materials and Communication Activities</w:t>
      </w:r>
    </w:p>
    <w:p w:rsidR="000C4F6B" w:rsidRDefault="000C4F6B" w:rsidP="000C4F6B">
      <w:pPr>
        <w:pStyle w:val="ListParagraph"/>
        <w:numPr>
          <w:ilvl w:val="0"/>
          <w:numId w:val="16"/>
        </w:numPr>
        <w:rPr>
          <w:lang w:val="en-ZA"/>
        </w:rPr>
      </w:pPr>
      <w:r w:rsidRPr="00A81E26">
        <w:rPr>
          <w:i/>
          <w:lang w:val="en-ZA"/>
        </w:rPr>
        <w:t>Brochures</w:t>
      </w:r>
      <w:r w:rsidRPr="00A81E26">
        <w:rPr>
          <w:lang w:val="en-ZA"/>
        </w:rPr>
        <w:t xml:space="preserve">, outlining the </w:t>
      </w:r>
      <w:r>
        <w:rPr>
          <w:lang w:val="en-ZA"/>
        </w:rPr>
        <w:t xml:space="preserve">Guyana Materials Development process </w:t>
      </w:r>
      <w:r w:rsidRPr="00A81E26">
        <w:rPr>
          <w:lang w:val="en-ZA"/>
        </w:rPr>
        <w:t xml:space="preserve">and distributed </w:t>
      </w:r>
      <w:r>
        <w:rPr>
          <w:lang w:val="en-ZA"/>
        </w:rPr>
        <w:t xml:space="preserve">to </w:t>
      </w:r>
      <w:r w:rsidR="00933787">
        <w:rPr>
          <w:lang w:val="en-ZA"/>
        </w:rPr>
        <w:t xml:space="preserve">Ministries of Education and </w:t>
      </w:r>
      <w:r>
        <w:rPr>
          <w:lang w:val="en-ZA"/>
        </w:rPr>
        <w:t xml:space="preserve">relevant key personnel at Teacher Education Institutions in </w:t>
      </w:r>
      <w:r w:rsidR="001E3B6B">
        <w:rPr>
          <w:lang w:val="en-ZA"/>
        </w:rPr>
        <w:t>neighbouring countries.</w:t>
      </w:r>
    </w:p>
    <w:p w:rsidR="00755EE6" w:rsidRPr="00BC354B" w:rsidRDefault="00755EE6" w:rsidP="00BC354B">
      <w:pPr>
        <w:rPr>
          <w:i/>
        </w:rPr>
      </w:pPr>
    </w:p>
    <w:p w:rsidR="00755EE6" w:rsidRPr="00755EE6" w:rsidRDefault="00755EE6" w:rsidP="00755EE6">
      <w:pPr>
        <w:pStyle w:val="ListParagraph"/>
        <w:numPr>
          <w:ilvl w:val="0"/>
          <w:numId w:val="16"/>
        </w:numPr>
        <w:rPr>
          <w:lang w:val="en-ZA"/>
        </w:rPr>
      </w:pPr>
      <w:r w:rsidRPr="00755EE6">
        <w:rPr>
          <w:i/>
        </w:rPr>
        <w:t>Case study</w:t>
      </w:r>
      <w:r>
        <w:t xml:space="preserve"> on the development, deployment and impact of the Guyana / UNESCO ICT </w:t>
      </w:r>
      <w:r w:rsidR="00BD222B">
        <w:t xml:space="preserve">CFT </w:t>
      </w:r>
      <w:r>
        <w:t xml:space="preserve">curriculum course. This is envisaged as an easy to read, illustrated PDF brochure that describes the project and the steps required to replicate or adapt the Guyana model for teacher training in other regions. It will look into the development process, deployment issues and the impact on the institution and the various stakeholders. </w:t>
      </w:r>
    </w:p>
    <w:p w:rsidR="002E312C" w:rsidRPr="002E312C" w:rsidRDefault="002E312C" w:rsidP="002E312C">
      <w:pPr>
        <w:pStyle w:val="ListParagraph"/>
        <w:rPr>
          <w:lang w:val="en-ZA"/>
        </w:rPr>
      </w:pPr>
    </w:p>
    <w:p w:rsidR="000C4F6B" w:rsidRPr="001E3B6B" w:rsidRDefault="002E312C" w:rsidP="002E312C">
      <w:pPr>
        <w:pStyle w:val="ListParagraph"/>
        <w:numPr>
          <w:ilvl w:val="0"/>
          <w:numId w:val="16"/>
        </w:numPr>
        <w:jc w:val="left"/>
        <w:rPr>
          <w:lang w:val="en-ZA"/>
        </w:rPr>
      </w:pPr>
      <w:r w:rsidRPr="002E312C">
        <w:rPr>
          <w:i/>
          <w:lang w:val="en-ZA"/>
        </w:rPr>
        <w:t>Package materials for redistribution</w:t>
      </w:r>
      <w:r>
        <w:rPr>
          <w:lang w:val="en-ZA"/>
        </w:rPr>
        <w:t>. Creation of a CD-interface housing Guyana Pre-Service and In-Service materials. Inclusion of supporting files and editable versions of documents so as to allow for ease of editing/repurposing by other institutions.</w:t>
      </w:r>
      <w:r w:rsidR="001E3B6B">
        <w:rPr>
          <w:lang w:val="en-ZA"/>
        </w:rPr>
        <w:br/>
      </w:r>
    </w:p>
    <w:p w:rsidR="000C4F6B" w:rsidRPr="000C4F6B" w:rsidRDefault="000C4F6B" w:rsidP="000C4F6B">
      <w:pPr>
        <w:pStyle w:val="ListParagraph"/>
        <w:numPr>
          <w:ilvl w:val="0"/>
          <w:numId w:val="16"/>
        </w:numPr>
        <w:rPr>
          <w:lang w:val="en-ZA"/>
        </w:rPr>
      </w:pPr>
      <w:r w:rsidRPr="00307506">
        <w:rPr>
          <w:i/>
          <w:lang w:val="en-ZA"/>
        </w:rPr>
        <w:t>Advocacy though websites</w:t>
      </w:r>
      <w:r w:rsidRPr="00307506">
        <w:rPr>
          <w:lang w:val="en-ZA"/>
        </w:rPr>
        <w:t xml:space="preserve">. </w:t>
      </w:r>
      <w:r>
        <w:rPr>
          <w:lang w:val="en-ZA"/>
        </w:rPr>
        <w:t xml:space="preserve">COL and </w:t>
      </w:r>
      <w:proofErr w:type="spellStart"/>
      <w:r>
        <w:rPr>
          <w:lang w:val="en-ZA"/>
        </w:rPr>
        <w:t>Comsec</w:t>
      </w:r>
      <w:proofErr w:type="spellEnd"/>
      <w:r>
        <w:rPr>
          <w:lang w:val="en-ZA"/>
        </w:rPr>
        <w:t xml:space="preserve"> to collaborate in the creation of</w:t>
      </w:r>
      <w:r w:rsidRPr="000C4F6B">
        <w:rPr>
          <w:lang w:val="en-ZA"/>
        </w:rPr>
        <w:t xml:space="preserve"> a portal/repository for materials on implementation of the UNESCO ICT CFT. While this will start with related educational materials, it should soon expand to include generic versions of documents produced by individual governments. In this way, the portal will function as a kind of online toolkit to support implementation of the UNESCO ICT CFT, which expands as more countries come on board. Ideally, as this grows, it can help to drive advocacy, attract new countries to join, and enable decision-makers to engage with case study material to determine whether or not they wish to proceed with implementation of the CFT.</w:t>
      </w:r>
    </w:p>
    <w:p w:rsidR="001E3B6B" w:rsidRDefault="001E3B6B" w:rsidP="001E3B6B">
      <w:pPr>
        <w:pStyle w:val="Heading4"/>
        <w:rPr>
          <w:lang w:val="en-ZA"/>
        </w:rPr>
      </w:pPr>
      <w:r>
        <w:rPr>
          <w:lang w:val="en-ZA"/>
        </w:rPr>
        <w:t xml:space="preserve">Strategic </w:t>
      </w:r>
      <w:r w:rsidRPr="00AB28F0">
        <w:rPr>
          <w:lang w:val="en-ZA"/>
        </w:rPr>
        <w:t>Meetings</w:t>
      </w:r>
      <w:r w:rsidR="00933787">
        <w:rPr>
          <w:lang w:val="en-ZA"/>
        </w:rPr>
        <w:t xml:space="preserve">, Discussion </w:t>
      </w:r>
      <w:r>
        <w:rPr>
          <w:lang w:val="en-ZA"/>
        </w:rPr>
        <w:t>and Engagement</w:t>
      </w:r>
    </w:p>
    <w:p w:rsidR="001E3B6B" w:rsidRDefault="001E3B6B" w:rsidP="001E3B6B">
      <w:pPr>
        <w:rPr>
          <w:lang w:val="en-ZA"/>
        </w:rPr>
      </w:pPr>
    </w:p>
    <w:p w:rsidR="00933787" w:rsidRPr="00933787" w:rsidRDefault="001E3B6B" w:rsidP="00933787">
      <w:pPr>
        <w:pStyle w:val="ListParagraph"/>
        <w:numPr>
          <w:ilvl w:val="0"/>
          <w:numId w:val="16"/>
        </w:numPr>
        <w:rPr>
          <w:lang w:val="en-ZA"/>
        </w:rPr>
      </w:pPr>
      <w:r>
        <w:rPr>
          <w:i/>
          <w:lang w:val="en-ZA"/>
        </w:rPr>
        <w:t xml:space="preserve">Strategic meetings, discussion and engagement with Ministries of Education and </w:t>
      </w:r>
      <w:r w:rsidRPr="001E3B6B">
        <w:rPr>
          <w:szCs w:val="24"/>
          <w:lang w:val="en-ZA"/>
        </w:rPr>
        <w:t xml:space="preserve">key Teacher Education Providers </w:t>
      </w:r>
      <w:r>
        <w:rPr>
          <w:szCs w:val="24"/>
          <w:lang w:val="en-ZA"/>
        </w:rPr>
        <w:t>in neighbouring countries</w:t>
      </w:r>
      <w:r w:rsidRPr="001E3B6B">
        <w:rPr>
          <w:lang w:val="en-ZA"/>
        </w:rPr>
        <w:t xml:space="preserve"> to </w:t>
      </w:r>
      <w:r>
        <w:rPr>
          <w:szCs w:val="24"/>
          <w:lang w:val="en-ZA"/>
        </w:rPr>
        <w:t>communicate success of Guyana ICT in Education Initiative and discuss scenarios for replication.</w:t>
      </w:r>
    </w:p>
    <w:p w:rsidR="00933787" w:rsidRPr="00933787" w:rsidRDefault="00933787" w:rsidP="00933787">
      <w:pPr>
        <w:pStyle w:val="ListParagraph"/>
        <w:ind w:left="360"/>
        <w:rPr>
          <w:lang w:val="en-ZA"/>
        </w:rPr>
      </w:pPr>
    </w:p>
    <w:p w:rsidR="00933787" w:rsidRDefault="00720C5F" w:rsidP="00933787">
      <w:pPr>
        <w:pStyle w:val="ListParagraph"/>
        <w:numPr>
          <w:ilvl w:val="0"/>
          <w:numId w:val="16"/>
        </w:numPr>
        <w:rPr>
          <w:lang w:val="en-ZA"/>
        </w:rPr>
      </w:pPr>
      <w:r w:rsidRPr="00933787">
        <w:rPr>
          <w:i/>
          <w:lang w:val="en-ZA"/>
        </w:rPr>
        <w:t>Establish a connection with one or more high-level champions within government</w:t>
      </w:r>
      <w:r w:rsidRPr="00933787">
        <w:rPr>
          <w:lang w:val="en-ZA"/>
        </w:rPr>
        <w:t>. Although initial contact and interest may come from outside the Ministry of Education (for example, from a Ministry of Telecommunications/Information Technology or Finance), a process of engagement should not commence until there is at least one high-level champion (preferably level of Minister or Permanent Secretary) committed to the process.</w:t>
      </w:r>
    </w:p>
    <w:p w:rsidR="00933787" w:rsidRPr="00933787" w:rsidRDefault="00933787" w:rsidP="00933787">
      <w:pPr>
        <w:pStyle w:val="ListParagraph"/>
        <w:rPr>
          <w:i/>
          <w:lang w:val="en-ZA"/>
        </w:rPr>
      </w:pPr>
    </w:p>
    <w:p w:rsidR="00933787" w:rsidRDefault="00720C5F" w:rsidP="00933787">
      <w:pPr>
        <w:pStyle w:val="ListParagraph"/>
        <w:numPr>
          <w:ilvl w:val="0"/>
          <w:numId w:val="16"/>
        </w:numPr>
        <w:rPr>
          <w:lang w:val="en-ZA"/>
        </w:rPr>
      </w:pPr>
      <w:r w:rsidRPr="00933787">
        <w:rPr>
          <w:i/>
          <w:lang w:val="en-ZA"/>
        </w:rPr>
        <w:t>Conduct a scoping investigation to assess current status of activities and create a roadmap for implementation</w:t>
      </w:r>
      <w:r w:rsidRPr="00933787">
        <w:rPr>
          <w:lang w:val="en-ZA"/>
        </w:rPr>
        <w:t>. Having established high-level political commitment to implementation, the next step is to analyse the existing environment and, through this, to determine what additional steps are needed to implement the UNESCO ICT CFT and in wh</w:t>
      </w:r>
      <w:r w:rsidR="00933787">
        <w:rPr>
          <w:lang w:val="en-ZA"/>
        </w:rPr>
        <w:t>at form this should take place.</w:t>
      </w:r>
    </w:p>
    <w:p w:rsidR="00933787" w:rsidRPr="00933787" w:rsidRDefault="00933787" w:rsidP="00933787">
      <w:pPr>
        <w:pStyle w:val="ListParagraph"/>
        <w:rPr>
          <w:i/>
          <w:lang w:val="en-ZA"/>
        </w:rPr>
      </w:pPr>
    </w:p>
    <w:p w:rsidR="00720C5F" w:rsidRPr="00933787" w:rsidRDefault="00720C5F" w:rsidP="00720C5F">
      <w:pPr>
        <w:pStyle w:val="ListParagraph"/>
        <w:numPr>
          <w:ilvl w:val="0"/>
          <w:numId w:val="16"/>
        </w:numPr>
        <w:rPr>
          <w:lang w:val="en-ZA"/>
        </w:rPr>
      </w:pPr>
      <w:r w:rsidRPr="00933787">
        <w:rPr>
          <w:i/>
          <w:lang w:val="en-ZA"/>
        </w:rPr>
        <w:t>Based on the scoping investigation, develop a roadmap for the country in question, defining next steps in implementation</w:t>
      </w:r>
      <w:r w:rsidRPr="00933787">
        <w:rPr>
          <w:lang w:val="en-ZA"/>
        </w:rPr>
        <w:t xml:space="preserve">. This roadmap would provide a detailed plan outlining how best to proceed with implementation of the UNESCO ICT CFT, taking into account the current context and existing processes/activities within the country. </w:t>
      </w:r>
    </w:p>
    <w:p w:rsidR="00135141" w:rsidRDefault="00135141" w:rsidP="00B94C0B">
      <w:pPr>
        <w:rPr>
          <w:szCs w:val="24"/>
          <w:lang w:val="en-ZA"/>
        </w:rPr>
      </w:pPr>
    </w:p>
    <w:p w:rsidR="004D58F1" w:rsidRPr="004D58F1" w:rsidRDefault="004D58F1" w:rsidP="00B94C0B">
      <w:pPr>
        <w:rPr>
          <w:lang w:val="en-ZA"/>
        </w:rPr>
      </w:pPr>
      <w:r w:rsidRPr="00AB28F0">
        <w:rPr>
          <w:lang w:val="en-ZA"/>
        </w:rPr>
        <w:t xml:space="preserve">Drawing from the above, the following </w:t>
      </w:r>
      <w:r>
        <w:rPr>
          <w:lang w:val="en-ZA"/>
        </w:rPr>
        <w:t>outputs have</w:t>
      </w:r>
      <w:r w:rsidRPr="00AB28F0">
        <w:rPr>
          <w:lang w:val="en-ZA"/>
        </w:rPr>
        <w:t xml:space="preserve"> been defined for the </w:t>
      </w:r>
      <w:r>
        <w:rPr>
          <w:lang w:val="en-ZA"/>
        </w:rPr>
        <w:t xml:space="preserve">Guyana Communication and Advocacy </w:t>
      </w:r>
      <w:r w:rsidRPr="00AB28F0">
        <w:rPr>
          <w:lang w:val="en-ZA"/>
        </w:rPr>
        <w:t>Strategy</w:t>
      </w:r>
      <w:r>
        <w:rPr>
          <w:lang w:val="en-ZA"/>
        </w:rPr>
        <w:t xml:space="preserve"> for the period from 1</w:t>
      </w:r>
      <w:r w:rsidRPr="00890F90">
        <w:rPr>
          <w:vertAlign w:val="superscript"/>
          <w:lang w:val="en-ZA"/>
        </w:rPr>
        <w:t>st</w:t>
      </w:r>
      <w:r>
        <w:rPr>
          <w:lang w:val="en-ZA"/>
        </w:rPr>
        <w:t xml:space="preserve"> January, 2012 to 31</w:t>
      </w:r>
      <w:r w:rsidRPr="00890F90">
        <w:rPr>
          <w:vertAlign w:val="superscript"/>
          <w:lang w:val="en-ZA"/>
        </w:rPr>
        <w:t>st</w:t>
      </w:r>
      <w:r>
        <w:rPr>
          <w:lang w:val="en-ZA"/>
        </w:rPr>
        <w:t xml:space="preserve"> December, 2013:</w:t>
      </w:r>
    </w:p>
    <w:p w:rsidR="00414A43" w:rsidRDefault="00414A43" w:rsidP="00B94C0B">
      <w:pPr>
        <w:rPr>
          <w:szCs w:val="24"/>
          <w:lang w:val="en-Z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38"/>
        <w:gridCol w:w="5628"/>
      </w:tblGrid>
      <w:tr w:rsidR="00414A43" w:rsidRPr="00AB28F0" w:rsidTr="00414A43">
        <w:trPr>
          <w:tblHeader/>
        </w:trPr>
        <w:tc>
          <w:tcPr>
            <w:tcW w:w="1930" w:type="pct"/>
            <w:tcBorders>
              <w:top w:val="single" w:sz="6" w:space="0" w:color="auto"/>
              <w:left w:val="single" w:sz="6" w:space="0" w:color="auto"/>
              <w:bottom w:val="single" w:sz="6" w:space="0" w:color="auto"/>
              <w:right w:val="single" w:sz="6" w:space="0" w:color="auto"/>
            </w:tcBorders>
            <w:shd w:val="clear" w:color="auto" w:fill="auto"/>
          </w:tcPr>
          <w:p w:rsidR="00414A43" w:rsidRPr="00AB28F0" w:rsidRDefault="00414A43" w:rsidP="00D074D9">
            <w:pPr>
              <w:rPr>
                <w:b/>
                <w:bCs/>
                <w:lang w:val="en-ZA"/>
              </w:rPr>
            </w:pPr>
            <w:r>
              <w:rPr>
                <w:b/>
                <w:bCs/>
                <w:lang w:val="en-ZA"/>
              </w:rPr>
              <w:t>Outputs</w:t>
            </w:r>
          </w:p>
        </w:tc>
        <w:tc>
          <w:tcPr>
            <w:tcW w:w="3070" w:type="pct"/>
            <w:tcBorders>
              <w:top w:val="single" w:sz="6" w:space="0" w:color="auto"/>
              <w:left w:val="single" w:sz="6" w:space="0" w:color="auto"/>
              <w:bottom w:val="single" w:sz="6" w:space="0" w:color="auto"/>
              <w:right w:val="single" w:sz="6" w:space="0" w:color="auto"/>
            </w:tcBorders>
            <w:shd w:val="clear" w:color="auto" w:fill="auto"/>
          </w:tcPr>
          <w:p w:rsidR="00414A43" w:rsidRPr="00AB28F0" w:rsidRDefault="00414A43" w:rsidP="00D074D9">
            <w:pPr>
              <w:rPr>
                <w:b/>
                <w:bCs/>
                <w:iCs/>
                <w:lang w:val="en-ZA"/>
              </w:rPr>
            </w:pPr>
            <w:r>
              <w:rPr>
                <w:b/>
                <w:bCs/>
                <w:iCs/>
                <w:lang w:val="en-ZA"/>
              </w:rPr>
              <w:t>Indicators</w:t>
            </w:r>
          </w:p>
        </w:tc>
      </w:tr>
      <w:tr w:rsidR="004D58F1" w:rsidRPr="00AB28F0" w:rsidTr="00414A43">
        <w:tc>
          <w:tcPr>
            <w:tcW w:w="1930" w:type="pct"/>
            <w:tcBorders>
              <w:top w:val="single" w:sz="6" w:space="0" w:color="auto"/>
              <w:left w:val="single" w:sz="6" w:space="0" w:color="auto"/>
              <w:bottom w:val="single" w:sz="6" w:space="0" w:color="auto"/>
              <w:right w:val="single" w:sz="6" w:space="0" w:color="auto"/>
            </w:tcBorders>
          </w:tcPr>
          <w:p w:rsidR="004D58F1" w:rsidRPr="00AB28F0" w:rsidRDefault="004D58F1" w:rsidP="004D58F1">
            <w:pPr>
              <w:numPr>
                <w:ilvl w:val="0"/>
                <w:numId w:val="24"/>
              </w:numPr>
              <w:jc w:val="left"/>
              <w:rPr>
                <w:lang w:val="en-ZA"/>
              </w:rPr>
            </w:pPr>
            <w:r>
              <w:rPr>
                <w:lang w:val="en-ZA"/>
              </w:rPr>
              <w:t>Guyana advocacy materials and communication activities proactively and effectively communicate the key messages of the Communication and Advocacy Strategy to its defined target audiences.</w:t>
            </w:r>
          </w:p>
        </w:tc>
        <w:tc>
          <w:tcPr>
            <w:tcW w:w="3070" w:type="pct"/>
            <w:tcBorders>
              <w:top w:val="single" w:sz="6" w:space="0" w:color="auto"/>
              <w:left w:val="single" w:sz="6" w:space="0" w:color="auto"/>
              <w:bottom w:val="single" w:sz="6" w:space="0" w:color="auto"/>
              <w:right w:val="single" w:sz="6" w:space="0" w:color="auto"/>
            </w:tcBorders>
          </w:tcPr>
          <w:p w:rsidR="00FE3087" w:rsidRDefault="001B31A0" w:rsidP="00DF67C1">
            <w:pPr>
              <w:pStyle w:val="ListParagraph"/>
              <w:numPr>
                <w:ilvl w:val="0"/>
                <w:numId w:val="30"/>
              </w:numPr>
              <w:jc w:val="left"/>
              <w:rPr>
                <w:lang w:val="en-ZA"/>
              </w:rPr>
            </w:pPr>
            <w:r w:rsidRPr="001B31A0">
              <w:rPr>
                <w:lang w:val="en-ZA"/>
              </w:rPr>
              <w:t xml:space="preserve">Brochures outlining Professional Development Framework options available to teachers in Guyana, produced and </w:t>
            </w:r>
            <w:r>
              <w:rPr>
                <w:lang w:val="en-ZA"/>
              </w:rPr>
              <w:t>available for download</w:t>
            </w:r>
            <w:r w:rsidRPr="001B31A0">
              <w:rPr>
                <w:lang w:val="en-ZA"/>
              </w:rPr>
              <w:t xml:space="preserve"> by </w:t>
            </w:r>
            <w:r>
              <w:rPr>
                <w:lang w:val="en-ZA"/>
              </w:rPr>
              <w:t>April</w:t>
            </w:r>
            <w:r w:rsidRPr="001B31A0">
              <w:rPr>
                <w:lang w:val="en-ZA"/>
              </w:rPr>
              <w:t>, 2012.</w:t>
            </w:r>
          </w:p>
          <w:p w:rsidR="00FE3087" w:rsidRPr="00130495" w:rsidRDefault="00FE3087" w:rsidP="00DF67C1">
            <w:pPr>
              <w:pStyle w:val="ListParagraph"/>
              <w:numPr>
                <w:ilvl w:val="0"/>
                <w:numId w:val="30"/>
              </w:numPr>
              <w:jc w:val="left"/>
              <w:rPr>
                <w:lang w:val="en-ZA"/>
              </w:rPr>
            </w:pPr>
            <w:r w:rsidRPr="00130495">
              <w:rPr>
                <w:lang w:val="en-ZA"/>
              </w:rPr>
              <w:t>Brochures</w:t>
            </w:r>
            <w:r w:rsidR="00130495">
              <w:rPr>
                <w:lang w:val="en-ZA"/>
              </w:rPr>
              <w:t xml:space="preserve"> </w:t>
            </w:r>
            <w:r w:rsidRPr="00A81E26">
              <w:rPr>
                <w:lang w:val="en-ZA"/>
              </w:rPr>
              <w:t xml:space="preserve">outlining the </w:t>
            </w:r>
            <w:r>
              <w:rPr>
                <w:lang w:val="en-ZA"/>
              </w:rPr>
              <w:t xml:space="preserve">Guyana Materials Development process </w:t>
            </w:r>
            <w:r w:rsidRPr="00A81E26">
              <w:rPr>
                <w:lang w:val="en-ZA"/>
              </w:rPr>
              <w:t xml:space="preserve">and distributed </w:t>
            </w:r>
            <w:r>
              <w:rPr>
                <w:lang w:val="en-ZA"/>
              </w:rPr>
              <w:t xml:space="preserve">to Ministries of Education and relevant key personnel at Teacher Education Institutions in neighbouring countries, by </w:t>
            </w:r>
            <w:r w:rsidR="00130495">
              <w:rPr>
                <w:lang w:val="en-ZA"/>
              </w:rPr>
              <w:t>March, 2012.</w:t>
            </w:r>
          </w:p>
          <w:p w:rsidR="00FE3087" w:rsidRPr="00130495" w:rsidRDefault="00FE3087" w:rsidP="00DF67C1">
            <w:pPr>
              <w:pStyle w:val="ListParagraph"/>
              <w:numPr>
                <w:ilvl w:val="0"/>
                <w:numId w:val="30"/>
              </w:numPr>
              <w:jc w:val="left"/>
              <w:rPr>
                <w:lang w:val="en-ZA"/>
              </w:rPr>
            </w:pPr>
            <w:r w:rsidRPr="00130495">
              <w:t>Case study</w:t>
            </w:r>
            <w:r>
              <w:t xml:space="preserve"> on the development, deployment and impact of the Guyana / U</w:t>
            </w:r>
            <w:r w:rsidR="00130495">
              <w:t xml:space="preserve">NESCO ICT </w:t>
            </w:r>
            <w:r w:rsidR="00DF67C1">
              <w:t>CFT</w:t>
            </w:r>
            <w:r w:rsidR="00130495">
              <w:t xml:space="preserve"> curriculum course created and </w:t>
            </w:r>
            <w:r w:rsidR="00130495">
              <w:rPr>
                <w:lang w:val="en-ZA"/>
              </w:rPr>
              <w:t>available for download</w:t>
            </w:r>
            <w:r w:rsidR="00130495" w:rsidRPr="001B31A0">
              <w:rPr>
                <w:lang w:val="en-ZA"/>
              </w:rPr>
              <w:t xml:space="preserve"> by </w:t>
            </w:r>
            <w:r w:rsidR="00130495">
              <w:rPr>
                <w:lang w:val="en-ZA"/>
              </w:rPr>
              <w:t>March</w:t>
            </w:r>
            <w:r w:rsidR="00130495" w:rsidRPr="001B31A0">
              <w:rPr>
                <w:lang w:val="en-ZA"/>
              </w:rPr>
              <w:t>, 2012</w:t>
            </w:r>
          </w:p>
          <w:p w:rsidR="00FE3087" w:rsidRPr="001E3B6B" w:rsidRDefault="00130495" w:rsidP="00DF67C1">
            <w:pPr>
              <w:pStyle w:val="ListParagraph"/>
              <w:numPr>
                <w:ilvl w:val="0"/>
                <w:numId w:val="30"/>
              </w:numPr>
              <w:jc w:val="left"/>
              <w:rPr>
                <w:lang w:val="en-ZA"/>
              </w:rPr>
            </w:pPr>
            <w:r w:rsidRPr="00130495">
              <w:rPr>
                <w:lang w:val="en-ZA"/>
              </w:rPr>
              <w:t>Creation of a</w:t>
            </w:r>
            <w:r>
              <w:rPr>
                <w:lang w:val="en-ZA"/>
              </w:rPr>
              <w:t>n</w:t>
            </w:r>
            <w:r>
              <w:rPr>
                <w:i/>
                <w:lang w:val="en-ZA"/>
              </w:rPr>
              <w:t xml:space="preserve"> </w:t>
            </w:r>
            <w:r w:rsidRPr="00130495">
              <w:rPr>
                <w:lang w:val="en-ZA"/>
              </w:rPr>
              <w:t>offline</w:t>
            </w:r>
            <w:r>
              <w:rPr>
                <w:i/>
                <w:lang w:val="en-ZA"/>
              </w:rPr>
              <w:t xml:space="preserve"> </w:t>
            </w:r>
            <w:r w:rsidR="00FE3087">
              <w:rPr>
                <w:lang w:val="en-ZA"/>
              </w:rPr>
              <w:t>CD-interface housing Guyana Pre-Se</w:t>
            </w:r>
            <w:r>
              <w:rPr>
                <w:lang w:val="en-ZA"/>
              </w:rPr>
              <w:t>rvice and In-Service materials packaged and ready for redistribution by January, 2012.</w:t>
            </w:r>
          </w:p>
          <w:p w:rsidR="00FE3087" w:rsidRPr="00130495" w:rsidRDefault="001B31A0" w:rsidP="00DF67C1">
            <w:pPr>
              <w:pStyle w:val="ListParagraph"/>
              <w:numPr>
                <w:ilvl w:val="0"/>
                <w:numId w:val="30"/>
              </w:numPr>
              <w:jc w:val="left"/>
              <w:rPr>
                <w:lang w:val="en-ZA"/>
              </w:rPr>
            </w:pPr>
            <w:r w:rsidRPr="00130495">
              <w:rPr>
                <w:lang w:val="en-ZA"/>
              </w:rPr>
              <w:t>Showcase Materials showcasing key aspects of successful practice of ICT integration in Education, launched by June, 2012 and regularly released thereafter with at least 2 Showcases per year.</w:t>
            </w:r>
          </w:p>
          <w:p w:rsidR="00FE3087" w:rsidRDefault="001B31A0" w:rsidP="00DF67C1">
            <w:pPr>
              <w:pStyle w:val="ListParagraph"/>
              <w:numPr>
                <w:ilvl w:val="0"/>
                <w:numId w:val="30"/>
              </w:numPr>
              <w:jc w:val="left"/>
              <w:rPr>
                <w:lang w:val="en-ZA"/>
              </w:rPr>
            </w:pPr>
            <w:r w:rsidRPr="00FE3087">
              <w:rPr>
                <w:lang w:val="en-ZA"/>
              </w:rPr>
              <w:t xml:space="preserve">At least </w:t>
            </w:r>
            <w:r w:rsidR="00FE3087" w:rsidRPr="00FE3087">
              <w:rPr>
                <w:lang w:val="en-ZA"/>
              </w:rPr>
              <w:t xml:space="preserve">three </w:t>
            </w:r>
            <w:r w:rsidRPr="00FE3087">
              <w:rPr>
                <w:lang w:val="en-ZA"/>
              </w:rPr>
              <w:t xml:space="preserve">Guyana press releases circulated annually </w:t>
            </w:r>
            <w:r w:rsidR="00FE3087" w:rsidRPr="00FE3087">
              <w:rPr>
                <w:lang w:val="en-ZA"/>
              </w:rPr>
              <w:t xml:space="preserve">as circumstances demand </w:t>
            </w:r>
            <w:r w:rsidRPr="00FE3087">
              <w:rPr>
                <w:lang w:val="en-ZA"/>
              </w:rPr>
              <w:t>to a growing network of journalists, researchers, bloggers, and other relevant individuals (reaching at le</w:t>
            </w:r>
            <w:r w:rsidR="00FE3087" w:rsidRPr="00FE3087">
              <w:rPr>
                <w:lang w:val="en-ZA"/>
              </w:rPr>
              <w:t>ast 100 people by December, 2013</w:t>
            </w:r>
            <w:r w:rsidRPr="00FE3087">
              <w:rPr>
                <w:lang w:val="en-ZA"/>
              </w:rPr>
              <w:t>).</w:t>
            </w:r>
          </w:p>
          <w:p w:rsidR="00FE3087" w:rsidRDefault="00FE3087" w:rsidP="00DF67C1">
            <w:pPr>
              <w:pStyle w:val="ListParagraph"/>
              <w:numPr>
                <w:ilvl w:val="0"/>
                <w:numId w:val="30"/>
              </w:numPr>
              <w:jc w:val="left"/>
              <w:rPr>
                <w:lang w:val="en-ZA"/>
              </w:rPr>
            </w:pPr>
            <w:r w:rsidRPr="00FE3087">
              <w:rPr>
                <w:lang w:val="en-ZA"/>
              </w:rPr>
              <w:t>At least</w:t>
            </w:r>
            <w:r w:rsidRPr="00FE3087">
              <w:rPr>
                <w:i/>
                <w:lang w:val="en-ZA"/>
              </w:rPr>
              <w:t xml:space="preserve"> </w:t>
            </w:r>
            <w:r w:rsidRPr="00FE3087">
              <w:rPr>
                <w:lang w:val="en-ZA"/>
              </w:rPr>
              <w:t>two</w:t>
            </w:r>
            <w:r w:rsidRPr="00FE3087">
              <w:rPr>
                <w:i/>
                <w:lang w:val="en-ZA"/>
              </w:rPr>
              <w:t xml:space="preserve"> </w:t>
            </w:r>
            <w:r w:rsidRPr="00FE3087">
              <w:rPr>
                <w:lang w:val="en-ZA"/>
              </w:rPr>
              <w:t>advocacy messages placed on television media annually. This includes communication of key messages and highlighting the use and importance of ICT in the classroom.</w:t>
            </w:r>
          </w:p>
          <w:p w:rsidR="00130495" w:rsidRDefault="00130495" w:rsidP="00DF67C1">
            <w:pPr>
              <w:pStyle w:val="ListParagraph"/>
              <w:numPr>
                <w:ilvl w:val="0"/>
                <w:numId w:val="30"/>
              </w:numPr>
              <w:jc w:val="left"/>
              <w:rPr>
                <w:lang w:val="en-ZA"/>
              </w:rPr>
            </w:pPr>
            <w:r>
              <w:rPr>
                <w:lang w:val="en-ZA"/>
              </w:rPr>
              <w:t>Creation of</w:t>
            </w:r>
            <w:r w:rsidRPr="000C4F6B">
              <w:rPr>
                <w:lang w:val="en-ZA"/>
              </w:rPr>
              <w:t xml:space="preserve"> a </w:t>
            </w:r>
            <w:r w:rsidR="00DF67C1">
              <w:rPr>
                <w:lang w:val="en-ZA"/>
              </w:rPr>
              <w:t>repository</w:t>
            </w:r>
            <w:r w:rsidRPr="000C4F6B">
              <w:rPr>
                <w:lang w:val="en-ZA"/>
              </w:rPr>
              <w:t xml:space="preserve"> for materials on implementation of the UNESCO ICT CFT</w:t>
            </w:r>
            <w:r>
              <w:rPr>
                <w:lang w:val="en-ZA"/>
              </w:rPr>
              <w:t xml:space="preserve"> by </w:t>
            </w:r>
            <w:r w:rsidR="00DF67C1">
              <w:rPr>
                <w:lang w:val="en-ZA"/>
              </w:rPr>
              <w:t>January, 2012</w:t>
            </w:r>
          </w:p>
          <w:p w:rsidR="004D58F1" w:rsidRPr="00FE3087" w:rsidRDefault="004D58F1" w:rsidP="00DF67C1">
            <w:pPr>
              <w:pStyle w:val="ListParagraph"/>
              <w:numPr>
                <w:ilvl w:val="0"/>
                <w:numId w:val="30"/>
              </w:numPr>
              <w:jc w:val="left"/>
              <w:rPr>
                <w:lang w:val="en-ZA"/>
              </w:rPr>
            </w:pPr>
            <w:r w:rsidRPr="00FE3087">
              <w:rPr>
                <w:lang w:val="en-ZA"/>
              </w:rPr>
              <w:t xml:space="preserve">All </w:t>
            </w:r>
            <w:r w:rsidR="00FE3087" w:rsidRPr="00FE3087">
              <w:rPr>
                <w:lang w:val="en-ZA"/>
              </w:rPr>
              <w:t>Guyana</w:t>
            </w:r>
            <w:r w:rsidRPr="00FE3087">
              <w:rPr>
                <w:lang w:val="en-ZA"/>
              </w:rPr>
              <w:t xml:space="preserve"> advocacy products released:</w:t>
            </w:r>
          </w:p>
          <w:p w:rsidR="004D58F1" w:rsidRDefault="004D58F1" w:rsidP="00DF67C1">
            <w:pPr>
              <w:numPr>
                <w:ilvl w:val="1"/>
                <w:numId w:val="30"/>
              </w:numPr>
              <w:jc w:val="left"/>
              <w:rPr>
                <w:lang w:val="en-ZA"/>
              </w:rPr>
            </w:pPr>
            <w:r>
              <w:rPr>
                <w:lang w:val="en-ZA"/>
              </w:rPr>
              <w:t>Limited print run of up to 1,000 copies;</w:t>
            </w:r>
          </w:p>
          <w:p w:rsidR="004D58F1" w:rsidRDefault="004D58F1" w:rsidP="00DF67C1">
            <w:pPr>
              <w:numPr>
                <w:ilvl w:val="1"/>
                <w:numId w:val="30"/>
              </w:numPr>
              <w:jc w:val="left"/>
              <w:rPr>
                <w:lang w:val="en-ZA"/>
              </w:rPr>
            </w:pPr>
            <w:r>
              <w:rPr>
                <w:lang w:val="en-ZA"/>
              </w:rPr>
              <w:t xml:space="preserve">Placed as downloadable resource on </w:t>
            </w:r>
            <w:proofErr w:type="spellStart"/>
            <w:r w:rsidR="00DF67C1">
              <w:rPr>
                <w:lang w:val="en-ZA"/>
              </w:rPr>
              <w:t>ComSec</w:t>
            </w:r>
            <w:proofErr w:type="spellEnd"/>
            <w:r w:rsidR="00DF67C1">
              <w:rPr>
                <w:lang w:val="en-ZA"/>
              </w:rPr>
              <w:t>/COL repository</w:t>
            </w:r>
            <w:r>
              <w:rPr>
                <w:lang w:val="en-ZA"/>
              </w:rPr>
              <w:t>, together with RSS feed and online subscription facility to receive content, with at least 1,000 subscribers by December, 2012;</w:t>
            </w:r>
          </w:p>
          <w:p w:rsidR="004D58F1" w:rsidRPr="00FE3087" w:rsidRDefault="004D58F1" w:rsidP="00DF67C1">
            <w:pPr>
              <w:numPr>
                <w:ilvl w:val="1"/>
                <w:numId w:val="30"/>
              </w:numPr>
              <w:jc w:val="left"/>
              <w:rPr>
                <w:lang w:val="en-ZA"/>
              </w:rPr>
            </w:pPr>
            <w:r>
              <w:rPr>
                <w:lang w:val="en-ZA"/>
              </w:rPr>
              <w:t xml:space="preserve">URL publicized on </w:t>
            </w:r>
            <w:r w:rsidR="00FE3087">
              <w:rPr>
                <w:lang w:val="en-ZA"/>
              </w:rPr>
              <w:t>Guyana</w:t>
            </w:r>
            <w:r>
              <w:rPr>
                <w:lang w:val="en-ZA"/>
              </w:rPr>
              <w:t xml:space="preserve"> Facebook fan page, </w:t>
            </w:r>
            <w:r>
              <w:rPr>
                <w:lang w:val="en-ZA"/>
              </w:rPr>
              <w:lastRenderedPageBreak/>
              <w:t>including at least 500 fans by December, 2012.</w:t>
            </w:r>
          </w:p>
        </w:tc>
      </w:tr>
      <w:tr w:rsidR="004D58F1" w:rsidRPr="00AB28F0" w:rsidTr="00414A43">
        <w:tc>
          <w:tcPr>
            <w:tcW w:w="1930" w:type="pct"/>
            <w:tcBorders>
              <w:top w:val="single" w:sz="6" w:space="0" w:color="auto"/>
              <w:left w:val="single" w:sz="6" w:space="0" w:color="auto"/>
              <w:bottom w:val="single" w:sz="6" w:space="0" w:color="auto"/>
              <w:right w:val="single" w:sz="6" w:space="0" w:color="auto"/>
            </w:tcBorders>
          </w:tcPr>
          <w:p w:rsidR="004D58F1" w:rsidRPr="00BC354B" w:rsidRDefault="00BC354B" w:rsidP="00BC354B">
            <w:pPr>
              <w:pStyle w:val="ListParagraph"/>
              <w:numPr>
                <w:ilvl w:val="0"/>
                <w:numId w:val="24"/>
              </w:numPr>
              <w:jc w:val="left"/>
              <w:rPr>
                <w:lang w:val="en-ZA"/>
              </w:rPr>
            </w:pPr>
            <w:r w:rsidRPr="00BC354B">
              <w:rPr>
                <w:lang w:val="en-ZA"/>
              </w:rPr>
              <w:lastRenderedPageBreak/>
              <w:t>Presentations and Workshop</w:t>
            </w:r>
            <w:r>
              <w:rPr>
                <w:lang w:val="en-ZA"/>
              </w:rPr>
              <w:t>s</w:t>
            </w:r>
            <w:r w:rsidRPr="00BC354B">
              <w:rPr>
                <w:lang w:val="en-ZA"/>
              </w:rPr>
              <w:t xml:space="preserve"> address key issues and advocate core advocacy messages with intended target audience though face-to-face interaction.</w:t>
            </w:r>
          </w:p>
        </w:tc>
        <w:tc>
          <w:tcPr>
            <w:tcW w:w="3070" w:type="pct"/>
            <w:tcBorders>
              <w:top w:val="single" w:sz="6" w:space="0" w:color="auto"/>
              <w:left w:val="single" w:sz="6" w:space="0" w:color="auto"/>
              <w:bottom w:val="single" w:sz="6" w:space="0" w:color="auto"/>
              <w:right w:val="single" w:sz="6" w:space="0" w:color="auto"/>
            </w:tcBorders>
          </w:tcPr>
          <w:p w:rsidR="00130495" w:rsidRDefault="00130495" w:rsidP="00130495">
            <w:pPr>
              <w:pStyle w:val="ListParagraph"/>
              <w:numPr>
                <w:ilvl w:val="0"/>
                <w:numId w:val="31"/>
              </w:numPr>
              <w:rPr>
                <w:lang w:val="en-ZA"/>
              </w:rPr>
            </w:pPr>
            <w:r w:rsidRPr="00130495">
              <w:rPr>
                <w:lang w:val="en-ZA"/>
              </w:rPr>
              <w:t>One s</w:t>
            </w:r>
            <w:r w:rsidR="0088339E">
              <w:rPr>
                <w:lang w:val="en-ZA"/>
              </w:rPr>
              <w:t>howcase</w:t>
            </w:r>
            <w:r w:rsidRPr="00130495">
              <w:rPr>
                <w:lang w:val="en-ZA"/>
              </w:rPr>
              <w:t xml:space="preserve"> road show to be held at each of the </w:t>
            </w:r>
            <w:r>
              <w:rPr>
                <w:lang w:val="en-ZA"/>
              </w:rPr>
              <w:t>10 Regional C</w:t>
            </w:r>
            <w:r w:rsidRPr="00130495">
              <w:rPr>
                <w:lang w:val="en-ZA"/>
              </w:rPr>
              <w:t xml:space="preserve">entres across Guyana annually. </w:t>
            </w:r>
          </w:p>
          <w:p w:rsidR="004D58F1" w:rsidRPr="00224DFF" w:rsidRDefault="00130495" w:rsidP="00130495">
            <w:pPr>
              <w:pStyle w:val="ListParagraph"/>
              <w:numPr>
                <w:ilvl w:val="0"/>
                <w:numId w:val="31"/>
              </w:numPr>
              <w:jc w:val="left"/>
              <w:rPr>
                <w:lang w:val="en-ZA"/>
              </w:rPr>
            </w:pPr>
            <w:r w:rsidRPr="00130495">
              <w:rPr>
                <w:lang w:val="en-ZA"/>
              </w:rPr>
              <w:t xml:space="preserve">Two </w:t>
            </w:r>
            <w:r>
              <w:rPr>
                <w:lang w:val="en-ZA"/>
              </w:rPr>
              <w:t>change management w</w:t>
            </w:r>
            <w:r w:rsidRPr="00130495">
              <w:rPr>
                <w:lang w:val="en-ZA"/>
              </w:rPr>
              <w:t xml:space="preserve">orkshops presented to School Management (Principals, ICT Coordinators) to be held at each of the 10 Regional Centres across Guyana annually. </w:t>
            </w:r>
          </w:p>
        </w:tc>
      </w:tr>
      <w:tr w:rsidR="004D58F1" w:rsidRPr="00AB28F0" w:rsidTr="00414A43">
        <w:tc>
          <w:tcPr>
            <w:tcW w:w="1930" w:type="pct"/>
            <w:tcBorders>
              <w:top w:val="single" w:sz="6" w:space="0" w:color="auto"/>
              <w:left w:val="single" w:sz="6" w:space="0" w:color="auto"/>
              <w:bottom w:val="single" w:sz="6" w:space="0" w:color="auto"/>
              <w:right w:val="single" w:sz="6" w:space="0" w:color="auto"/>
            </w:tcBorders>
          </w:tcPr>
          <w:p w:rsidR="004D58F1" w:rsidRPr="00BC354B" w:rsidRDefault="009323FE" w:rsidP="00BC354B">
            <w:pPr>
              <w:pStyle w:val="ListParagraph"/>
              <w:numPr>
                <w:ilvl w:val="0"/>
                <w:numId w:val="24"/>
              </w:numPr>
              <w:jc w:val="left"/>
              <w:rPr>
                <w:lang w:val="en-ZA"/>
              </w:rPr>
            </w:pPr>
            <w:r w:rsidRPr="001B31A0">
              <w:rPr>
                <w:lang w:val="en-ZA"/>
              </w:rPr>
              <w:t>Relationships with a key series of stakeholders built and sustained</w:t>
            </w:r>
          </w:p>
        </w:tc>
        <w:tc>
          <w:tcPr>
            <w:tcW w:w="3070" w:type="pct"/>
            <w:tcBorders>
              <w:top w:val="single" w:sz="6" w:space="0" w:color="auto"/>
              <w:left w:val="single" w:sz="6" w:space="0" w:color="auto"/>
              <w:bottom w:val="single" w:sz="6" w:space="0" w:color="auto"/>
              <w:right w:val="single" w:sz="6" w:space="0" w:color="auto"/>
            </w:tcBorders>
          </w:tcPr>
          <w:p w:rsidR="00224DFF" w:rsidRDefault="00224DFF" w:rsidP="00DF67C1">
            <w:pPr>
              <w:numPr>
                <w:ilvl w:val="0"/>
                <w:numId w:val="33"/>
              </w:numPr>
              <w:jc w:val="left"/>
              <w:rPr>
                <w:lang w:val="en-ZA"/>
              </w:rPr>
            </w:pPr>
            <w:r>
              <w:rPr>
                <w:lang w:val="en-ZA"/>
              </w:rPr>
              <w:t>One-on-one meetings held biennially with:</w:t>
            </w:r>
          </w:p>
          <w:p w:rsidR="00224DFF" w:rsidRDefault="00224DFF" w:rsidP="00DF67C1">
            <w:pPr>
              <w:numPr>
                <w:ilvl w:val="1"/>
                <w:numId w:val="33"/>
              </w:numPr>
              <w:jc w:val="left"/>
              <w:rPr>
                <w:lang w:val="en-ZA"/>
              </w:rPr>
            </w:pPr>
            <w:r>
              <w:rPr>
                <w:lang w:val="en-ZA"/>
              </w:rPr>
              <w:t>Ministry of Education</w:t>
            </w:r>
          </w:p>
          <w:p w:rsidR="00224DFF" w:rsidRPr="00224DFF" w:rsidRDefault="00224DFF" w:rsidP="00DF67C1">
            <w:pPr>
              <w:numPr>
                <w:ilvl w:val="1"/>
                <w:numId w:val="33"/>
              </w:numPr>
              <w:jc w:val="left"/>
              <w:rPr>
                <w:lang w:val="en-ZA"/>
              </w:rPr>
            </w:pPr>
            <w:r>
              <w:rPr>
                <w:lang w:val="en-ZA"/>
              </w:rPr>
              <w:t xml:space="preserve">Deans of Faculties of Education at </w:t>
            </w:r>
            <w:r w:rsidRPr="009323FE">
              <w:rPr>
                <w:lang w:val="en-ZA"/>
              </w:rPr>
              <w:t>CPCE, UG and NCERD</w:t>
            </w:r>
          </w:p>
          <w:p w:rsidR="00224DFF" w:rsidRDefault="00224DFF" w:rsidP="00DF67C1">
            <w:pPr>
              <w:numPr>
                <w:ilvl w:val="0"/>
                <w:numId w:val="33"/>
              </w:numPr>
              <w:jc w:val="left"/>
              <w:rPr>
                <w:lang w:val="en-ZA"/>
              </w:rPr>
            </w:pPr>
            <w:r>
              <w:rPr>
                <w:lang w:val="en-ZA"/>
              </w:rPr>
              <w:t>Above meetings lead to rolling joint plans of action between Guyana and key stakeholders to advance common advocacy positions.</w:t>
            </w:r>
          </w:p>
          <w:p w:rsidR="009323FE" w:rsidRPr="009323FE" w:rsidRDefault="009323FE" w:rsidP="00DF67C1">
            <w:pPr>
              <w:pStyle w:val="ListParagraph"/>
              <w:numPr>
                <w:ilvl w:val="0"/>
                <w:numId w:val="33"/>
              </w:numPr>
              <w:jc w:val="left"/>
              <w:rPr>
                <w:lang w:val="en-ZA"/>
              </w:rPr>
            </w:pPr>
            <w:r w:rsidRPr="009323FE">
              <w:rPr>
                <w:lang w:val="en-ZA"/>
              </w:rPr>
              <w:t xml:space="preserve">Establishment of a connection with one or more high-level champions within government in neighbouring countries by </w:t>
            </w:r>
            <w:r w:rsidR="00DF67C1">
              <w:rPr>
                <w:lang w:val="en-ZA"/>
              </w:rPr>
              <w:t>January, 2012</w:t>
            </w:r>
            <w:r w:rsidRPr="009323FE">
              <w:rPr>
                <w:lang w:val="en-ZA"/>
              </w:rPr>
              <w:t xml:space="preserve">. </w:t>
            </w:r>
          </w:p>
          <w:p w:rsidR="004D58F1" w:rsidRPr="00224DFF" w:rsidRDefault="009323FE" w:rsidP="00DF67C1">
            <w:pPr>
              <w:pStyle w:val="ListParagraph"/>
              <w:numPr>
                <w:ilvl w:val="0"/>
                <w:numId w:val="33"/>
              </w:numPr>
              <w:jc w:val="left"/>
              <w:rPr>
                <w:lang w:val="en-ZA"/>
              </w:rPr>
            </w:pPr>
            <w:r w:rsidRPr="009323FE">
              <w:rPr>
                <w:lang w:val="en-ZA"/>
              </w:rPr>
              <w:t xml:space="preserve">Completion of a scoping investigation to assess current status of activities and create a roadmap for implementation in interested neighbouring country by </w:t>
            </w:r>
            <w:r w:rsidR="00DF67C1">
              <w:rPr>
                <w:lang w:val="en-ZA"/>
              </w:rPr>
              <w:t>June, 2012</w:t>
            </w:r>
          </w:p>
        </w:tc>
      </w:tr>
    </w:tbl>
    <w:p w:rsidR="00B158EE" w:rsidRDefault="00B158EE" w:rsidP="00B94C0B">
      <w:pPr>
        <w:rPr>
          <w:lang w:val="en-ZA"/>
        </w:rPr>
      </w:pPr>
    </w:p>
    <w:sectPr w:rsidR="00B158EE" w:rsidSect="007D74D9">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16" w:rsidRDefault="003B7F16" w:rsidP="007D74D9">
      <w:r>
        <w:separator/>
      </w:r>
    </w:p>
  </w:endnote>
  <w:endnote w:type="continuationSeparator" w:id="0">
    <w:p w:rsidR="003B7F16" w:rsidRDefault="003B7F16"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138"/>
      <w:docPartObj>
        <w:docPartGallery w:val="Page Numbers (Bottom of Page)"/>
        <w:docPartUnique/>
      </w:docPartObj>
    </w:sdtPr>
    <w:sdtEndPr/>
    <w:sdtContent>
      <w:p w:rsidR="00F05FB7" w:rsidRDefault="00446088" w:rsidP="007D74D9">
        <w:pPr>
          <w:pStyle w:val="Footer"/>
          <w:jc w:val="center"/>
        </w:pPr>
        <w:r>
          <w:fldChar w:fldCharType="begin"/>
        </w:r>
        <w:r>
          <w:instrText xml:space="preserve"> PAGE   \* MERGEFORMAT </w:instrText>
        </w:r>
        <w:r>
          <w:fldChar w:fldCharType="separate"/>
        </w:r>
        <w:r w:rsidR="00BD222B">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141"/>
      <w:docPartObj>
        <w:docPartGallery w:val="Page Numbers (Bottom of Page)"/>
        <w:docPartUnique/>
      </w:docPartObj>
    </w:sdtPr>
    <w:sdtEndPr/>
    <w:sdtContent>
      <w:p w:rsidR="00F05FB7" w:rsidRDefault="00446088" w:rsidP="007D74D9">
        <w:pPr>
          <w:pStyle w:val="Footer"/>
          <w:jc w:val="center"/>
        </w:pPr>
        <w:r>
          <w:fldChar w:fldCharType="begin"/>
        </w:r>
        <w:r>
          <w:instrText xml:space="preserve"> PAGE   \* MERGEFORMAT </w:instrText>
        </w:r>
        <w:r>
          <w:fldChar w:fldCharType="separate"/>
        </w:r>
        <w:r w:rsidR="00DF67C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16" w:rsidRDefault="003B7F16" w:rsidP="007D74D9">
      <w:r>
        <w:separator/>
      </w:r>
    </w:p>
  </w:footnote>
  <w:footnote w:type="continuationSeparator" w:id="0">
    <w:p w:rsidR="003B7F16" w:rsidRDefault="003B7F16" w:rsidP="007D74D9">
      <w:r>
        <w:continuationSeparator/>
      </w:r>
    </w:p>
  </w:footnote>
  <w:footnote w:id="1">
    <w:p w:rsidR="00F05FB7" w:rsidRPr="006F2D9D" w:rsidRDefault="00F05FB7" w:rsidP="00F851AA">
      <w:pPr>
        <w:pStyle w:val="FootnoteText"/>
        <w:rPr>
          <w:lang w:val="en-ZA"/>
        </w:rPr>
      </w:pPr>
      <w:r>
        <w:rPr>
          <w:rStyle w:val="FootnoteReference"/>
        </w:rPr>
        <w:footnoteRef/>
      </w:r>
      <w:r>
        <w:t xml:space="preserve"> </w:t>
      </w:r>
      <w:r>
        <w:rPr>
          <w:lang w:val="en-ZA"/>
        </w:rPr>
        <w:t xml:space="preserve">These statements are adapted from: </w:t>
      </w:r>
      <w:r w:rsidRPr="006F2D9D">
        <w:t xml:space="preserve">UNESCO. 2008a. </w:t>
      </w:r>
      <w:r w:rsidRPr="006F2D9D">
        <w:rPr>
          <w:i/>
        </w:rPr>
        <w:t>ICT Competency Standards for Teachers: Policy Framework</w:t>
      </w:r>
      <w:r w:rsidRPr="006F2D9D">
        <w:t>.</w:t>
      </w:r>
    </w:p>
  </w:footnote>
  <w:footnote w:id="2">
    <w:p w:rsidR="00F05FB7" w:rsidRPr="00BE5139" w:rsidRDefault="00F05FB7" w:rsidP="003F0D47">
      <w:pPr>
        <w:rPr>
          <w:rStyle w:val="FootnoteTextChar2"/>
          <w:rFonts w:ascii="Calibri" w:hAnsi="Calibri" w:cs="Calibri"/>
          <w:sz w:val="18"/>
          <w:szCs w:val="18"/>
        </w:rPr>
      </w:pPr>
      <w:r w:rsidRPr="00BE5139">
        <w:rPr>
          <w:rStyle w:val="FootnoteReference"/>
          <w:rFonts w:cs="Calibri"/>
          <w:sz w:val="18"/>
          <w:szCs w:val="18"/>
        </w:rPr>
        <w:footnoteRef/>
      </w:r>
      <w:r w:rsidRPr="00BE5139">
        <w:rPr>
          <w:rStyle w:val="FootnoteTextChar2"/>
          <w:rFonts w:ascii="Calibri" w:hAnsi="Calibri" w:cs="Calibri"/>
          <w:sz w:val="18"/>
          <w:szCs w:val="18"/>
        </w:rPr>
        <w:t xml:space="preserve"> </w:t>
      </w:r>
      <w:proofErr w:type="spellStart"/>
      <w:r w:rsidRPr="00BE5139">
        <w:rPr>
          <w:rStyle w:val="FootnoteTextChar2"/>
          <w:rFonts w:ascii="Calibri" w:hAnsi="Calibri" w:cs="Calibri"/>
          <w:sz w:val="18"/>
          <w:szCs w:val="18"/>
        </w:rPr>
        <w:t>SchoolNet</w:t>
      </w:r>
      <w:proofErr w:type="spellEnd"/>
      <w:r w:rsidRPr="00BE5139">
        <w:rPr>
          <w:rStyle w:val="FootnoteTextChar2"/>
          <w:rFonts w:ascii="Calibri" w:hAnsi="Calibri" w:cs="Calibri"/>
          <w:sz w:val="18"/>
          <w:szCs w:val="18"/>
        </w:rPr>
        <w:t xml:space="preserve"> Africa. 2004. </w:t>
      </w:r>
      <w:proofErr w:type="gramStart"/>
      <w:r w:rsidRPr="00BE5139">
        <w:rPr>
          <w:rStyle w:val="FootnoteTextChar2"/>
          <w:rFonts w:ascii="Calibri" w:hAnsi="Calibri" w:cs="Calibri"/>
          <w:sz w:val="18"/>
          <w:szCs w:val="18"/>
        </w:rPr>
        <w:t>Towards</w:t>
      </w:r>
      <w:proofErr w:type="gramEnd"/>
      <w:r w:rsidRPr="00BE5139">
        <w:rPr>
          <w:rStyle w:val="FootnoteTextChar2"/>
          <w:rFonts w:ascii="Calibri" w:hAnsi="Calibri" w:cs="Calibri"/>
          <w:sz w:val="18"/>
          <w:szCs w:val="18"/>
        </w:rPr>
        <w:t xml:space="preserve"> a Strategy on Developing African Teacher Capabilities in the Use of ICT. Draft report.</w:t>
      </w:r>
    </w:p>
  </w:footnote>
  <w:footnote w:id="3">
    <w:p w:rsidR="00F05FB7" w:rsidRPr="00BE5139" w:rsidRDefault="00F05FB7" w:rsidP="003F0D47">
      <w:pPr>
        <w:jc w:val="left"/>
        <w:rPr>
          <w:rStyle w:val="FootnoteTextChar2"/>
          <w:rFonts w:ascii="Calibri" w:hAnsi="Calibri" w:cs="Calibri"/>
          <w:sz w:val="18"/>
          <w:szCs w:val="18"/>
        </w:rPr>
      </w:pPr>
      <w:r w:rsidRPr="00BE5139">
        <w:rPr>
          <w:rStyle w:val="FootnoteReference"/>
          <w:rFonts w:cs="Calibri"/>
          <w:sz w:val="18"/>
          <w:szCs w:val="18"/>
        </w:rPr>
        <w:footnoteRef/>
      </w:r>
      <w:r w:rsidRPr="00BE5139">
        <w:rPr>
          <w:rStyle w:val="FootnoteTextChar2"/>
          <w:rFonts w:ascii="Calibri" w:hAnsi="Calibri" w:cs="Calibri"/>
          <w:sz w:val="18"/>
          <w:szCs w:val="18"/>
        </w:rPr>
        <w:t xml:space="preserve"> Cox, M and Abbott; C (</w:t>
      </w:r>
      <w:proofErr w:type="spellStart"/>
      <w:proofErr w:type="gramStart"/>
      <w:r w:rsidRPr="00BE5139">
        <w:rPr>
          <w:rStyle w:val="FootnoteTextChar2"/>
          <w:rFonts w:ascii="Calibri" w:hAnsi="Calibri" w:cs="Calibri"/>
          <w:sz w:val="18"/>
          <w:szCs w:val="18"/>
        </w:rPr>
        <w:t>ed</w:t>
      </w:r>
      <w:proofErr w:type="spellEnd"/>
      <w:proofErr w:type="gramEnd"/>
      <w:r w:rsidRPr="00BE5139">
        <w:rPr>
          <w:rStyle w:val="FootnoteTextChar2"/>
          <w:rFonts w:ascii="Calibri" w:hAnsi="Calibri" w:cs="Calibri"/>
          <w:sz w:val="18"/>
          <w:szCs w:val="18"/>
        </w:rPr>
        <w:t xml:space="preserve">). </w:t>
      </w:r>
      <w:proofErr w:type="gramStart"/>
      <w:r w:rsidRPr="00BE5139">
        <w:rPr>
          <w:rStyle w:val="FootnoteTextChar2"/>
          <w:rFonts w:ascii="Calibri" w:hAnsi="Calibri" w:cs="Calibri"/>
          <w:sz w:val="18"/>
          <w:szCs w:val="18"/>
        </w:rPr>
        <w:t>(2004). A review of the research literature relating to ICT and attainment.</w:t>
      </w:r>
      <w:proofErr w:type="gramEnd"/>
      <w:r w:rsidRPr="00BE5139">
        <w:rPr>
          <w:rStyle w:val="FootnoteTextChar2"/>
          <w:rFonts w:ascii="Calibri" w:hAnsi="Calibri" w:cs="Calibri"/>
          <w:sz w:val="18"/>
          <w:szCs w:val="18"/>
        </w:rPr>
        <w:t xml:space="preserve"> Retrieved November 9, 2006 from </w:t>
      </w:r>
      <w:proofErr w:type="spellStart"/>
      <w:r w:rsidRPr="00BE5139">
        <w:rPr>
          <w:rStyle w:val="FootnoteTextChar2"/>
          <w:rFonts w:ascii="Calibri" w:hAnsi="Calibri" w:cs="Calibri"/>
          <w:sz w:val="18"/>
          <w:szCs w:val="18"/>
        </w:rPr>
        <w:t>Becta</w:t>
      </w:r>
      <w:proofErr w:type="spellEnd"/>
      <w:r w:rsidRPr="00BE5139">
        <w:rPr>
          <w:rStyle w:val="FootnoteTextChar2"/>
          <w:rFonts w:ascii="Calibri" w:hAnsi="Calibri" w:cs="Calibri"/>
          <w:sz w:val="18"/>
          <w:szCs w:val="18"/>
        </w:rPr>
        <w:t xml:space="preserve"> ICT Research website: http://www.becta.org.uk/page_documents/research/ict_attainment04.pdf</w:t>
      </w:r>
      <w:r w:rsidRPr="00BE5139">
        <w:rPr>
          <w:rStyle w:val="FootnoteTextChar2"/>
          <w:rFonts w:ascii="Calibri" w:hAnsi="Calibri" w:cs="Calibri"/>
          <w:sz w:val="18"/>
          <w:szCs w:val="18"/>
          <w:highlight w:val="yellow"/>
        </w:rPr>
        <w:t xml:space="preserve"> </w:t>
      </w:r>
    </w:p>
  </w:footnote>
  <w:footnote w:id="4">
    <w:p w:rsidR="00F05FB7" w:rsidRPr="00BE5139" w:rsidRDefault="00F05FB7" w:rsidP="003F0D47">
      <w:pPr>
        <w:jc w:val="left"/>
        <w:rPr>
          <w:rStyle w:val="FootnoteTextChar2"/>
          <w:rFonts w:ascii="Calibri" w:hAnsi="Calibri" w:cs="Calibri"/>
          <w:sz w:val="18"/>
          <w:szCs w:val="18"/>
        </w:rPr>
      </w:pPr>
      <w:r w:rsidRPr="00BE5139">
        <w:rPr>
          <w:rStyle w:val="FootnoteReference"/>
          <w:rFonts w:cs="Calibri"/>
          <w:sz w:val="18"/>
          <w:szCs w:val="18"/>
        </w:rPr>
        <w:footnoteRef/>
      </w:r>
      <w:r w:rsidRPr="00BE5139">
        <w:rPr>
          <w:rStyle w:val="FootnoteTextChar2"/>
          <w:rFonts w:ascii="Calibri" w:hAnsi="Calibri" w:cs="Calibri"/>
          <w:sz w:val="18"/>
          <w:szCs w:val="18"/>
        </w:rPr>
        <w:t xml:space="preserve"> </w:t>
      </w:r>
      <w:proofErr w:type="gramStart"/>
      <w:r w:rsidRPr="00BE5139">
        <w:rPr>
          <w:rStyle w:val="FootnoteTextChar2"/>
          <w:rFonts w:ascii="Calibri" w:hAnsi="Calibri" w:cs="Calibri"/>
          <w:sz w:val="18"/>
          <w:szCs w:val="18"/>
        </w:rPr>
        <w:t xml:space="preserve">Carlson, S. and </w:t>
      </w:r>
      <w:proofErr w:type="spellStart"/>
      <w:r w:rsidRPr="00BE5139">
        <w:rPr>
          <w:rStyle w:val="FootnoteTextChar2"/>
          <w:rFonts w:ascii="Calibri" w:hAnsi="Calibri" w:cs="Calibri"/>
          <w:sz w:val="18"/>
          <w:szCs w:val="18"/>
        </w:rPr>
        <w:t>Gadio</w:t>
      </w:r>
      <w:proofErr w:type="spellEnd"/>
      <w:r w:rsidRPr="00BE5139">
        <w:rPr>
          <w:rStyle w:val="FootnoteTextChar2"/>
          <w:rFonts w:ascii="Calibri" w:hAnsi="Calibri" w:cs="Calibri"/>
          <w:sz w:val="18"/>
          <w:szCs w:val="18"/>
        </w:rPr>
        <w:t>, C.T. (2002).</w:t>
      </w:r>
      <w:proofErr w:type="gramEnd"/>
      <w:r w:rsidRPr="00BE5139">
        <w:rPr>
          <w:rStyle w:val="FootnoteTextChar2"/>
          <w:rFonts w:ascii="Calibri" w:hAnsi="Calibri" w:cs="Calibri"/>
          <w:sz w:val="18"/>
          <w:szCs w:val="18"/>
        </w:rPr>
        <w:t xml:space="preserve"> </w:t>
      </w:r>
      <w:proofErr w:type="gramStart"/>
      <w:r w:rsidRPr="00BE5139">
        <w:rPr>
          <w:rStyle w:val="FootnoteTextChar2"/>
          <w:rFonts w:ascii="Calibri" w:hAnsi="Calibri" w:cs="Calibri"/>
          <w:sz w:val="18"/>
          <w:szCs w:val="18"/>
        </w:rPr>
        <w:t>Teacher Professional Development in the Use of ICT.</w:t>
      </w:r>
      <w:proofErr w:type="gramEnd"/>
      <w:r w:rsidRPr="00BE5139">
        <w:rPr>
          <w:rStyle w:val="FootnoteTextChar2"/>
          <w:rFonts w:ascii="Calibri" w:hAnsi="Calibri" w:cs="Calibri"/>
          <w:sz w:val="18"/>
          <w:szCs w:val="18"/>
        </w:rPr>
        <w:t xml:space="preserve"> Retrieved November 9, 2006 from </w:t>
      </w:r>
      <w:proofErr w:type="spellStart"/>
      <w:r w:rsidRPr="00BE5139">
        <w:rPr>
          <w:rStyle w:val="FootnoteTextChar2"/>
          <w:rFonts w:ascii="Calibri" w:hAnsi="Calibri" w:cs="Calibri"/>
          <w:sz w:val="18"/>
          <w:szCs w:val="18"/>
        </w:rPr>
        <w:t>SchoolNet</w:t>
      </w:r>
      <w:proofErr w:type="spellEnd"/>
      <w:r w:rsidRPr="00BE5139">
        <w:rPr>
          <w:rStyle w:val="FootnoteTextChar2"/>
          <w:rFonts w:ascii="Calibri" w:hAnsi="Calibri" w:cs="Calibri"/>
          <w:sz w:val="18"/>
          <w:szCs w:val="18"/>
        </w:rPr>
        <w:t xml:space="preserve"> website: http://www.schoolnetafrica.net/fileadmin/resources/Teacher_Professional_Development_In_the_use_of_Technology.pdf</w:t>
      </w:r>
    </w:p>
  </w:footnote>
  <w:footnote w:id="5">
    <w:p w:rsidR="00BB60AD" w:rsidRPr="001C6DD8" w:rsidRDefault="00BB60AD" w:rsidP="00FD54B7">
      <w:pPr>
        <w:pStyle w:val="FootnoteText"/>
        <w:rPr>
          <w:rFonts w:ascii="Calibri" w:eastAsia="Calibri" w:hAnsi="Calibri" w:cs="Times New Roman"/>
          <w:szCs w:val="18"/>
          <w:lang w:val="en-ZA"/>
        </w:rPr>
      </w:pPr>
      <w:r w:rsidRPr="001C6DD8">
        <w:rPr>
          <w:rStyle w:val="FootnoteReference"/>
          <w:rFonts w:ascii="Calibri" w:eastAsia="Calibri" w:hAnsi="Calibri" w:cs="Times New Roman"/>
          <w:szCs w:val="18"/>
        </w:rPr>
        <w:footnoteRef/>
      </w:r>
      <w:r w:rsidRPr="001C6DD8">
        <w:rPr>
          <w:rFonts w:ascii="Calibri" w:eastAsia="Calibri" w:hAnsi="Calibri" w:cs="Times New Roman"/>
          <w:szCs w:val="18"/>
        </w:rPr>
        <w:t xml:space="preserve"> Real Simple Syndication (RSS) is a protocol that allows users to subscribe to online content by creating lists of preferred sources of information in a ‘reader’ or ‘aggregator’ that automatically retrieves content updates, saving users time and effort. RSS feeds can be very helpful in managing information and undertaking ongoing research.</w:t>
      </w:r>
    </w:p>
  </w:footnote>
  <w:footnote w:id="6">
    <w:p w:rsidR="00F05FB7" w:rsidRDefault="00F05FB7" w:rsidP="004976B7">
      <w:pPr>
        <w:pStyle w:val="FootnoteText"/>
      </w:pPr>
      <w:r>
        <w:rPr>
          <w:rStyle w:val="FootnoteReference"/>
        </w:rPr>
        <w:footnoteRef/>
      </w:r>
      <w:r>
        <w:t xml:space="preserve"> </w:t>
      </w:r>
      <w:r>
        <w:rPr>
          <w:lang w:val="en-ZA"/>
        </w:rPr>
        <w:t>A podcast is defined as ‘</w:t>
      </w:r>
      <w:r w:rsidRPr="00E82037">
        <w:t>An audio programme in a compressed digital format, delivered via an RSS feed over the Internet to a subscriber and designed for playback on computers or portable digital audio players</w:t>
      </w:r>
      <w:r>
        <w:t xml:space="preserve">’. </w:t>
      </w:r>
    </w:p>
    <w:p w:rsidR="00F05FB7" w:rsidRPr="00E82037" w:rsidRDefault="00F05FB7" w:rsidP="004976B7">
      <w:pPr>
        <w:pStyle w:val="FootnoteText"/>
        <w:rPr>
          <w:lang w:val="en-ZA"/>
        </w:rPr>
      </w:pPr>
      <w:r>
        <w:t xml:space="preserve">Definition accessed from </w:t>
      </w:r>
      <w:hyperlink r:id="rId1" w:history="1">
        <w:r w:rsidRPr="00431359">
          <w:rPr>
            <w:rStyle w:val="Hyperlink"/>
          </w:rPr>
          <w:t>http://en.wiktionary.org/wiki/podcast</w:t>
        </w:r>
      </w:hyperlink>
      <w:r>
        <w:t xml:space="preserve"> on 30th September,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5A1"/>
    <w:multiLevelType w:val="hybridMultilevel"/>
    <w:tmpl w:val="0D583884"/>
    <w:lvl w:ilvl="0" w:tplc="82126F98">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8555D77"/>
    <w:multiLevelType w:val="hybridMultilevel"/>
    <w:tmpl w:val="E916B2C8"/>
    <w:lvl w:ilvl="0" w:tplc="31FC06BC">
      <w:start w:val="1"/>
      <w:numFmt w:val="bullet"/>
      <w:lvlText w:val="•"/>
      <w:lvlJc w:val="left"/>
      <w:pPr>
        <w:ind w:left="360" w:hanging="360"/>
      </w:pPr>
      <w:rPr>
        <w:rFonts w:ascii="Times New Roman" w:hAnsi="Times New Roman"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093B4096"/>
    <w:multiLevelType w:val="hybridMultilevel"/>
    <w:tmpl w:val="F72855DA"/>
    <w:lvl w:ilvl="0" w:tplc="1748941C">
      <w:start w:val="1"/>
      <w:numFmt w:val="bullet"/>
      <w:lvlText w:val="•"/>
      <w:lvlJc w:val="left"/>
      <w:pPr>
        <w:ind w:left="360" w:hanging="360"/>
      </w:pPr>
      <w:rPr>
        <w:rFonts w:ascii="Times New Roman" w:hAnsi="Times New Roman" w:cs="Times New Roman"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09B173AC"/>
    <w:multiLevelType w:val="hybridMultilevel"/>
    <w:tmpl w:val="DFC8B8A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
    <w:nsid w:val="0E0A4CD1"/>
    <w:multiLevelType w:val="hybridMultilevel"/>
    <w:tmpl w:val="6E308892"/>
    <w:lvl w:ilvl="0" w:tplc="086B0011">
      <w:start w:val="1"/>
      <w:numFmt w:val="decimal"/>
      <w:lvlText w:val="%1)"/>
      <w:lvlJc w:val="left"/>
      <w:pPr>
        <w:ind w:left="360" w:hanging="360"/>
      </w:pPr>
      <w:rPr>
        <w:rFonts w:hint="default"/>
      </w:rPr>
    </w:lvl>
    <w:lvl w:ilvl="1" w:tplc="086B0019" w:tentative="1">
      <w:start w:val="1"/>
      <w:numFmt w:val="lowerLetter"/>
      <w:lvlText w:val="%2."/>
      <w:lvlJc w:val="left"/>
      <w:pPr>
        <w:ind w:left="1080" w:hanging="360"/>
      </w:pPr>
    </w:lvl>
    <w:lvl w:ilvl="2" w:tplc="086B001B" w:tentative="1">
      <w:start w:val="1"/>
      <w:numFmt w:val="lowerRoman"/>
      <w:lvlText w:val="%3."/>
      <w:lvlJc w:val="right"/>
      <w:pPr>
        <w:ind w:left="1800" w:hanging="180"/>
      </w:pPr>
    </w:lvl>
    <w:lvl w:ilvl="3" w:tplc="086B000F" w:tentative="1">
      <w:start w:val="1"/>
      <w:numFmt w:val="decimal"/>
      <w:lvlText w:val="%4."/>
      <w:lvlJc w:val="left"/>
      <w:pPr>
        <w:ind w:left="2520" w:hanging="360"/>
      </w:pPr>
    </w:lvl>
    <w:lvl w:ilvl="4" w:tplc="086B0019" w:tentative="1">
      <w:start w:val="1"/>
      <w:numFmt w:val="lowerLetter"/>
      <w:lvlText w:val="%5."/>
      <w:lvlJc w:val="left"/>
      <w:pPr>
        <w:ind w:left="3240" w:hanging="360"/>
      </w:pPr>
    </w:lvl>
    <w:lvl w:ilvl="5" w:tplc="086B001B" w:tentative="1">
      <w:start w:val="1"/>
      <w:numFmt w:val="lowerRoman"/>
      <w:lvlText w:val="%6."/>
      <w:lvlJc w:val="right"/>
      <w:pPr>
        <w:ind w:left="3960" w:hanging="180"/>
      </w:pPr>
    </w:lvl>
    <w:lvl w:ilvl="6" w:tplc="086B000F" w:tentative="1">
      <w:start w:val="1"/>
      <w:numFmt w:val="decimal"/>
      <w:lvlText w:val="%7."/>
      <w:lvlJc w:val="left"/>
      <w:pPr>
        <w:ind w:left="4680" w:hanging="360"/>
      </w:pPr>
    </w:lvl>
    <w:lvl w:ilvl="7" w:tplc="086B0019" w:tentative="1">
      <w:start w:val="1"/>
      <w:numFmt w:val="lowerLetter"/>
      <w:lvlText w:val="%8."/>
      <w:lvlJc w:val="left"/>
      <w:pPr>
        <w:ind w:left="5400" w:hanging="360"/>
      </w:pPr>
    </w:lvl>
    <w:lvl w:ilvl="8" w:tplc="086B001B" w:tentative="1">
      <w:start w:val="1"/>
      <w:numFmt w:val="lowerRoman"/>
      <w:lvlText w:val="%9."/>
      <w:lvlJc w:val="right"/>
      <w:pPr>
        <w:ind w:left="6120" w:hanging="180"/>
      </w:pPr>
    </w:lvl>
  </w:abstractNum>
  <w:abstractNum w:abstractNumId="5">
    <w:nsid w:val="11120F26"/>
    <w:multiLevelType w:val="hybridMultilevel"/>
    <w:tmpl w:val="91ACDD04"/>
    <w:lvl w:ilvl="0" w:tplc="086B0001">
      <w:start w:val="1"/>
      <w:numFmt w:val="bullet"/>
      <w:lvlText w:val=""/>
      <w:lvlJc w:val="left"/>
      <w:pPr>
        <w:ind w:left="360" w:hanging="360"/>
      </w:pPr>
      <w:rPr>
        <w:rFonts w:ascii="Symbol" w:hAnsi="Symbol" w:hint="default"/>
      </w:rPr>
    </w:lvl>
    <w:lvl w:ilvl="1" w:tplc="086B0003">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6">
    <w:nsid w:val="139C75C8"/>
    <w:multiLevelType w:val="hybridMultilevel"/>
    <w:tmpl w:val="9A38E80A"/>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7">
    <w:nsid w:val="14C87C47"/>
    <w:multiLevelType w:val="multilevel"/>
    <w:tmpl w:val="74CC22F0"/>
    <w:lvl w:ilvl="0">
      <w:start w:val="3"/>
      <w:numFmt w:val="bullet"/>
      <w:lvlText w:val="•"/>
      <w:lvlJc w:val="left"/>
      <w:pPr>
        <w:tabs>
          <w:tab w:val="num" w:pos="397"/>
        </w:tabs>
        <w:ind w:left="397" w:hanging="397"/>
      </w:pPr>
      <w:rPr>
        <w:rFonts w:ascii="Calibri" w:hAnsi="Calibri" w:hint="default"/>
        <w:color w:val="auto"/>
        <w:sz w:val="18"/>
      </w:rPr>
    </w:lvl>
    <w:lvl w:ilvl="1">
      <w:start w:val="1"/>
      <w:numFmt w:val="bullet"/>
      <w:lvlText w:val="–"/>
      <w:lvlJc w:val="left"/>
      <w:pPr>
        <w:tabs>
          <w:tab w:val="num" w:pos="794"/>
        </w:tabs>
        <w:ind w:left="794" w:hanging="397"/>
      </w:pPr>
      <w:rPr>
        <w:rFonts w:ascii="Calibri" w:hAnsi="Calibri" w:hint="default"/>
      </w:rPr>
    </w:lvl>
    <w:lvl w:ilvl="2">
      <w:start w:val="1"/>
      <w:numFmt w:val="bullet"/>
      <w:lvlText w:val="*"/>
      <w:lvlJc w:val="left"/>
      <w:pPr>
        <w:tabs>
          <w:tab w:val="num" w:pos="1191"/>
        </w:tabs>
        <w:ind w:left="1191" w:hanging="397"/>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56B6BFE"/>
    <w:multiLevelType w:val="hybridMultilevel"/>
    <w:tmpl w:val="96D29820"/>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9">
    <w:nsid w:val="17A9607E"/>
    <w:multiLevelType w:val="hybridMultilevel"/>
    <w:tmpl w:val="087CC3CA"/>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10">
    <w:nsid w:val="1A06024E"/>
    <w:multiLevelType w:val="hybridMultilevel"/>
    <w:tmpl w:val="2B327AF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
    <w:nsid w:val="1B873911"/>
    <w:multiLevelType w:val="multilevel"/>
    <w:tmpl w:val="74CC22F0"/>
    <w:lvl w:ilvl="0">
      <w:start w:val="3"/>
      <w:numFmt w:val="bullet"/>
      <w:lvlText w:val="•"/>
      <w:lvlJc w:val="left"/>
      <w:pPr>
        <w:tabs>
          <w:tab w:val="num" w:pos="397"/>
        </w:tabs>
        <w:ind w:left="397" w:hanging="397"/>
      </w:pPr>
      <w:rPr>
        <w:rFonts w:ascii="Calibri" w:hAnsi="Calibri" w:hint="default"/>
        <w:color w:val="auto"/>
        <w:sz w:val="18"/>
      </w:rPr>
    </w:lvl>
    <w:lvl w:ilvl="1">
      <w:start w:val="1"/>
      <w:numFmt w:val="bullet"/>
      <w:lvlText w:val="–"/>
      <w:lvlJc w:val="left"/>
      <w:pPr>
        <w:tabs>
          <w:tab w:val="num" w:pos="794"/>
        </w:tabs>
        <w:ind w:left="794" w:hanging="397"/>
      </w:pPr>
      <w:rPr>
        <w:rFonts w:ascii="Calibri" w:hAnsi="Calibri" w:hint="default"/>
      </w:rPr>
    </w:lvl>
    <w:lvl w:ilvl="2">
      <w:start w:val="1"/>
      <w:numFmt w:val="bullet"/>
      <w:lvlText w:val="*"/>
      <w:lvlJc w:val="left"/>
      <w:pPr>
        <w:tabs>
          <w:tab w:val="num" w:pos="1191"/>
        </w:tabs>
        <w:ind w:left="1191" w:hanging="397"/>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DC245AC"/>
    <w:multiLevelType w:val="hybridMultilevel"/>
    <w:tmpl w:val="C4BAC234"/>
    <w:lvl w:ilvl="0" w:tplc="31FC06BC">
      <w:start w:val="1"/>
      <w:numFmt w:val="bullet"/>
      <w:lvlText w:val="•"/>
      <w:lvlJc w:val="left"/>
      <w:pPr>
        <w:ind w:left="360" w:hanging="360"/>
      </w:pPr>
      <w:rPr>
        <w:rFonts w:ascii="Times New Roman" w:hAnsi="Times New Roman"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255F65F4"/>
    <w:multiLevelType w:val="multilevel"/>
    <w:tmpl w:val="74CC22F0"/>
    <w:lvl w:ilvl="0">
      <w:start w:val="3"/>
      <w:numFmt w:val="bullet"/>
      <w:lvlText w:val="•"/>
      <w:lvlJc w:val="left"/>
      <w:pPr>
        <w:tabs>
          <w:tab w:val="num" w:pos="397"/>
        </w:tabs>
        <w:ind w:left="397" w:hanging="397"/>
      </w:pPr>
      <w:rPr>
        <w:rFonts w:ascii="Calibri" w:hAnsi="Calibri" w:hint="default"/>
        <w:color w:val="auto"/>
        <w:sz w:val="18"/>
      </w:rPr>
    </w:lvl>
    <w:lvl w:ilvl="1">
      <w:start w:val="1"/>
      <w:numFmt w:val="bullet"/>
      <w:lvlText w:val="–"/>
      <w:lvlJc w:val="left"/>
      <w:pPr>
        <w:tabs>
          <w:tab w:val="num" w:pos="794"/>
        </w:tabs>
        <w:ind w:left="794" w:hanging="397"/>
      </w:pPr>
      <w:rPr>
        <w:rFonts w:ascii="Calibri" w:hAnsi="Calibri" w:hint="default"/>
      </w:rPr>
    </w:lvl>
    <w:lvl w:ilvl="2">
      <w:start w:val="1"/>
      <w:numFmt w:val="bullet"/>
      <w:lvlText w:val="*"/>
      <w:lvlJc w:val="left"/>
      <w:pPr>
        <w:tabs>
          <w:tab w:val="num" w:pos="1191"/>
        </w:tabs>
        <w:ind w:left="1191" w:hanging="397"/>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633345D"/>
    <w:multiLevelType w:val="multilevel"/>
    <w:tmpl w:val="74CC22F0"/>
    <w:lvl w:ilvl="0">
      <w:start w:val="3"/>
      <w:numFmt w:val="bullet"/>
      <w:lvlText w:val="•"/>
      <w:lvlJc w:val="left"/>
      <w:pPr>
        <w:tabs>
          <w:tab w:val="num" w:pos="397"/>
        </w:tabs>
        <w:ind w:left="397" w:hanging="397"/>
      </w:pPr>
      <w:rPr>
        <w:rFonts w:ascii="Calibri" w:hAnsi="Calibri" w:hint="default"/>
        <w:color w:val="auto"/>
        <w:sz w:val="18"/>
      </w:rPr>
    </w:lvl>
    <w:lvl w:ilvl="1">
      <w:start w:val="1"/>
      <w:numFmt w:val="bullet"/>
      <w:lvlText w:val="–"/>
      <w:lvlJc w:val="left"/>
      <w:pPr>
        <w:tabs>
          <w:tab w:val="num" w:pos="794"/>
        </w:tabs>
        <w:ind w:left="794" w:hanging="397"/>
      </w:pPr>
      <w:rPr>
        <w:rFonts w:ascii="Calibri" w:hAnsi="Calibri" w:hint="default"/>
      </w:rPr>
    </w:lvl>
    <w:lvl w:ilvl="2">
      <w:start w:val="1"/>
      <w:numFmt w:val="bullet"/>
      <w:lvlText w:val="*"/>
      <w:lvlJc w:val="left"/>
      <w:pPr>
        <w:tabs>
          <w:tab w:val="num" w:pos="1191"/>
        </w:tabs>
        <w:ind w:left="1191" w:hanging="397"/>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BA34F5A"/>
    <w:multiLevelType w:val="multilevel"/>
    <w:tmpl w:val="57803F3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EA167D"/>
    <w:multiLevelType w:val="multilevel"/>
    <w:tmpl w:val="C018DFA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62E537F"/>
    <w:multiLevelType w:val="hybridMultilevel"/>
    <w:tmpl w:val="EE5ABC40"/>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18">
    <w:nsid w:val="364F3354"/>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664058"/>
    <w:multiLevelType w:val="hybridMultilevel"/>
    <w:tmpl w:val="5B902072"/>
    <w:lvl w:ilvl="0" w:tplc="1748941C">
      <w:start w:val="1"/>
      <w:numFmt w:val="bullet"/>
      <w:lvlText w:val="•"/>
      <w:lvlJc w:val="left"/>
      <w:pPr>
        <w:ind w:left="360" w:hanging="360"/>
      </w:pPr>
      <w:rPr>
        <w:rFonts w:ascii="Times New Roman" w:hAnsi="Times New Roman" w:cs="Times New Roman"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nsid w:val="3E615E0B"/>
    <w:multiLevelType w:val="hybridMultilevel"/>
    <w:tmpl w:val="F99092FE"/>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21">
    <w:nsid w:val="40110B31"/>
    <w:multiLevelType w:val="hybridMultilevel"/>
    <w:tmpl w:val="F2D68AB8"/>
    <w:lvl w:ilvl="0" w:tplc="2BFE3580">
      <w:start w:val="1"/>
      <w:numFmt w:val="bullet"/>
      <w:lvlText w:val="•"/>
      <w:lvlJc w:val="left"/>
      <w:pPr>
        <w:ind w:left="360" w:hanging="360"/>
      </w:pPr>
      <w:rPr>
        <w:rFonts w:ascii="Times New Roman" w:hAnsi="Times New Roman" w:cs="Times New Roman" w:hint="default"/>
        <w:sz w:val="24"/>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nsid w:val="489B2BD7"/>
    <w:multiLevelType w:val="multilevel"/>
    <w:tmpl w:val="0A942CE6"/>
    <w:lvl w:ilvl="0">
      <w:start w:val="1"/>
      <w:numFmt w:val="bullet"/>
      <w:lvlText w:val="•"/>
      <w:lvlJc w:val="left"/>
      <w:pPr>
        <w:ind w:left="360" w:hanging="360"/>
      </w:pPr>
      <w:rPr>
        <w:rFonts w:ascii="Times New Roman" w:hAnsi="Times New Roman" w:cs="Times New Roman" w:hint="default"/>
        <w:color w:val="auto"/>
        <w:sz w:val="24"/>
      </w:rPr>
    </w:lvl>
    <w:lvl w:ilvl="1">
      <w:start w:val="1"/>
      <w:numFmt w:val="bullet"/>
      <w:lvlText w:val="•"/>
      <w:lvlJc w:val="left"/>
      <w:pPr>
        <w:ind w:left="720" w:hanging="360"/>
      </w:pPr>
      <w:rPr>
        <w:rFonts w:ascii="Times New Roman" w:hAnsi="Times New Roman" w:cs="Times New Roman" w:hint="default"/>
        <w:color w:val="auto"/>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AA7DF4"/>
    <w:multiLevelType w:val="hybridMultilevel"/>
    <w:tmpl w:val="8AF453E6"/>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25">
    <w:nsid w:val="5B4F1D3D"/>
    <w:multiLevelType w:val="hybridMultilevel"/>
    <w:tmpl w:val="ADC6FF96"/>
    <w:lvl w:ilvl="0" w:tplc="086B0001">
      <w:start w:val="1"/>
      <w:numFmt w:val="bullet"/>
      <w:lvlText w:val=""/>
      <w:lvlJc w:val="left"/>
      <w:pPr>
        <w:tabs>
          <w:tab w:val="num" w:pos="360"/>
        </w:tabs>
        <w:ind w:left="36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2D5936"/>
    <w:multiLevelType w:val="multilevel"/>
    <w:tmpl w:val="C018DFA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5290F77"/>
    <w:multiLevelType w:val="hybridMultilevel"/>
    <w:tmpl w:val="F47AA8F0"/>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30">
    <w:nsid w:val="67C6726D"/>
    <w:multiLevelType w:val="hybridMultilevel"/>
    <w:tmpl w:val="06E26354"/>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31">
    <w:nsid w:val="6F5E44DE"/>
    <w:multiLevelType w:val="hybridMultilevel"/>
    <w:tmpl w:val="BBEE4234"/>
    <w:lvl w:ilvl="0" w:tplc="086B0001">
      <w:start w:val="1"/>
      <w:numFmt w:val="bullet"/>
      <w:lvlText w:val=""/>
      <w:lvlJc w:val="left"/>
      <w:pPr>
        <w:ind w:left="360" w:hanging="360"/>
      </w:pPr>
      <w:rPr>
        <w:rFonts w:ascii="Symbol" w:hAnsi="Symbol" w:hint="default"/>
      </w:rPr>
    </w:lvl>
    <w:lvl w:ilvl="1" w:tplc="086B0003" w:tentative="1">
      <w:start w:val="1"/>
      <w:numFmt w:val="bullet"/>
      <w:lvlText w:val="o"/>
      <w:lvlJc w:val="left"/>
      <w:pPr>
        <w:ind w:left="1080" w:hanging="360"/>
      </w:pPr>
      <w:rPr>
        <w:rFonts w:ascii="Courier New" w:hAnsi="Courier New" w:cs="Courier New" w:hint="default"/>
      </w:rPr>
    </w:lvl>
    <w:lvl w:ilvl="2" w:tplc="086B0005" w:tentative="1">
      <w:start w:val="1"/>
      <w:numFmt w:val="bullet"/>
      <w:lvlText w:val=""/>
      <w:lvlJc w:val="left"/>
      <w:pPr>
        <w:ind w:left="1800" w:hanging="360"/>
      </w:pPr>
      <w:rPr>
        <w:rFonts w:ascii="Wingdings" w:hAnsi="Wingdings" w:hint="default"/>
      </w:rPr>
    </w:lvl>
    <w:lvl w:ilvl="3" w:tplc="086B0001" w:tentative="1">
      <w:start w:val="1"/>
      <w:numFmt w:val="bullet"/>
      <w:lvlText w:val=""/>
      <w:lvlJc w:val="left"/>
      <w:pPr>
        <w:ind w:left="2520" w:hanging="360"/>
      </w:pPr>
      <w:rPr>
        <w:rFonts w:ascii="Symbol" w:hAnsi="Symbol" w:hint="default"/>
      </w:rPr>
    </w:lvl>
    <w:lvl w:ilvl="4" w:tplc="086B0003" w:tentative="1">
      <w:start w:val="1"/>
      <w:numFmt w:val="bullet"/>
      <w:lvlText w:val="o"/>
      <w:lvlJc w:val="left"/>
      <w:pPr>
        <w:ind w:left="3240" w:hanging="360"/>
      </w:pPr>
      <w:rPr>
        <w:rFonts w:ascii="Courier New" w:hAnsi="Courier New" w:cs="Courier New" w:hint="default"/>
      </w:rPr>
    </w:lvl>
    <w:lvl w:ilvl="5" w:tplc="086B0005" w:tentative="1">
      <w:start w:val="1"/>
      <w:numFmt w:val="bullet"/>
      <w:lvlText w:val=""/>
      <w:lvlJc w:val="left"/>
      <w:pPr>
        <w:ind w:left="3960" w:hanging="360"/>
      </w:pPr>
      <w:rPr>
        <w:rFonts w:ascii="Wingdings" w:hAnsi="Wingdings" w:hint="default"/>
      </w:rPr>
    </w:lvl>
    <w:lvl w:ilvl="6" w:tplc="086B0001" w:tentative="1">
      <w:start w:val="1"/>
      <w:numFmt w:val="bullet"/>
      <w:lvlText w:val=""/>
      <w:lvlJc w:val="left"/>
      <w:pPr>
        <w:ind w:left="4680" w:hanging="360"/>
      </w:pPr>
      <w:rPr>
        <w:rFonts w:ascii="Symbol" w:hAnsi="Symbol" w:hint="default"/>
      </w:rPr>
    </w:lvl>
    <w:lvl w:ilvl="7" w:tplc="086B0003" w:tentative="1">
      <w:start w:val="1"/>
      <w:numFmt w:val="bullet"/>
      <w:lvlText w:val="o"/>
      <w:lvlJc w:val="left"/>
      <w:pPr>
        <w:ind w:left="5400" w:hanging="360"/>
      </w:pPr>
      <w:rPr>
        <w:rFonts w:ascii="Courier New" w:hAnsi="Courier New" w:cs="Courier New" w:hint="default"/>
      </w:rPr>
    </w:lvl>
    <w:lvl w:ilvl="8" w:tplc="086B0005" w:tentative="1">
      <w:start w:val="1"/>
      <w:numFmt w:val="bullet"/>
      <w:lvlText w:val=""/>
      <w:lvlJc w:val="left"/>
      <w:pPr>
        <w:ind w:left="6120" w:hanging="360"/>
      </w:pPr>
      <w:rPr>
        <w:rFonts w:ascii="Wingdings" w:hAnsi="Wingdings" w:hint="default"/>
      </w:rPr>
    </w:lvl>
  </w:abstractNum>
  <w:abstractNum w:abstractNumId="32">
    <w:nsid w:val="7E9A2EAE"/>
    <w:multiLevelType w:val="multilevel"/>
    <w:tmpl w:val="EF7CF3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26"/>
  </w:num>
  <w:num w:numId="3">
    <w:abstractNumId w:val="27"/>
  </w:num>
  <w:num w:numId="4">
    <w:abstractNumId w:val="15"/>
  </w:num>
  <w:num w:numId="5">
    <w:abstractNumId w:val="14"/>
  </w:num>
  <w:num w:numId="6">
    <w:abstractNumId w:val="31"/>
  </w:num>
  <w:num w:numId="7">
    <w:abstractNumId w:val="8"/>
  </w:num>
  <w:num w:numId="8">
    <w:abstractNumId w:val="20"/>
  </w:num>
  <w:num w:numId="9">
    <w:abstractNumId w:val="12"/>
  </w:num>
  <w:num w:numId="10">
    <w:abstractNumId w:val="29"/>
  </w:num>
  <w:num w:numId="11">
    <w:abstractNumId w:val="30"/>
  </w:num>
  <w:num w:numId="12">
    <w:abstractNumId w:val="6"/>
  </w:num>
  <w:num w:numId="13">
    <w:abstractNumId w:val="16"/>
  </w:num>
  <w:num w:numId="14">
    <w:abstractNumId w:val="4"/>
  </w:num>
  <w:num w:numId="15">
    <w:abstractNumId w:val="18"/>
  </w:num>
  <w:num w:numId="16">
    <w:abstractNumId w:val="28"/>
  </w:num>
  <w:num w:numId="17">
    <w:abstractNumId w:val="19"/>
  </w:num>
  <w:num w:numId="18">
    <w:abstractNumId w:val="2"/>
  </w:num>
  <w:num w:numId="19">
    <w:abstractNumId w:val="3"/>
  </w:num>
  <w:num w:numId="20">
    <w:abstractNumId w:val="1"/>
  </w:num>
  <w:num w:numId="21">
    <w:abstractNumId w:val="10"/>
  </w:num>
  <w:num w:numId="22">
    <w:abstractNumId w:val="13"/>
  </w:num>
  <w:num w:numId="23">
    <w:abstractNumId w:val="22"/>
  </w:num>
  <w:num w:numId="24">
    <w:abstractNumId w:val="0"/>
  </w:num>
  <w:num w:numId="25">
    <w:abstractNumId w:val="21"/>
  </w:num>
  <w:num w:numId="26">
    <w:abstractNumId w:val="32"/>
  </w:num>
  <w:num w:numId="27">
    <w:abstractNumId w:val="7"/>
  </w:num>
  <w:num w:numId="28">
    <w:abstractNumId w:val="11"/>
  </w:num>
  <w:num w:numId="29">
    <w:abstractNumId w:val="17"/>
  </w:num>
  <w:num w:numId="30">
    <w:abstractNumId w:val="5"/>
  </w:num>
  <w:num w:numId="31">
    <w:abstractNumId w:val="24"/>
  </w:num>
  <w:num w:numId="32">
    <w:abstractNumId w:val="9"/>
  </w:num>
  <w:num w:numId="3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75"/>
    <w:rsid w:val="000035CF"/>
    <w:rsid w:val="00015FEB"/>
    <w:rsid w:val="00020A7C"/>
    <w:rsid w:val="00033CA7"/>
    <w:rsid w:val="0008460C"/>
    <w:rsid w:val="000A4002"/>
    <w:rsid w:val="000A6FC9"/>
    <w:rsid w:val="000C4F6B"/>
    <w:rsid w:val="000C5D64"/>
    <w:rsid w:val="000D125B"/>
    <w:rsid w:val="000D4A47"/>
    <w:rsid w:val="000D5354"/>
    <w:rsid w:val="000F0EF9"/>
    <w:rsid w:val="00113216"/>
    <w:rsid w:val="00121560"/>
    <w:rsid w:val="001244A2"/>
    <w:rsid w:val="00130495"/>
    <w:rsid w:val="00135141"/>
    <w:rsid w:val="001405F8"/>
    <w:rsid w:val="00145632"/>
    <w:rsid w:val="00171C56"/>
    <w:rsid w:val="001740F2"/>
    <w:rsid w:val="00191455"/>
    <w:rsid w:val="00196840"/>
    <w:rsid w:val="001A1DA2"/>
    <w:rsid w:val="001A1E22"/>
    <w:rsid w:val="001A3DE8"/>
    <w:rsid w:val="001A3FF9"/>
    <w:rsid w:val="001B31A0"/>
    <w:rsid w:val="001B7F2B"/>
    <w:rsid w:val="001C2A4B"/>
    <w:rsid w:val="001C56AD"/>
    <w:rsid w:val="001E3B6B"/>
    <w:rsid w:val="00211287"/>
    <w:rsid w:val="002116AF"/>
    <w:rsid w:val="00224DFF"/>
    <w:rsid w:val="00233F03"/>
    <w:rsid w:val="00241C11"/>
    <w:rsid w:val="00244D4C"/>
    <w:rsid w:val="00252955"/>
    <w:rsid w:val="002529B8"/>
    <w:rsid w:val="00257A82"/>
    <w:rsid w:val="00275DEA"/>
    <w:rsid w:val="00276275"/>
    <w:rsid w:val="002771E6"/>
    <w:rsid w:val="00290EA8"/>
    <w:rsid w:val="002A5D9A"/>
    <w:rsid w:val="002C6FC4"/>
    <w:rsid w:val="002D20D4"/>
    <w:rsid w:val="002D3853"/>
    <w:rsid w:val="002E060E"/>
    <w:rsid w:val="002E11A4"/>
    <w:rsid w:val="002E312C"/>
    <w:rsid w:val="002E61E0"/>
    <w:rsid w:val="003005F8"/>
    <w:rsid w:val="00307506"/>
    <w:rsid w:val="00310898"/>
    <w:rsid w:val="00323B39"/>
    <w:rsid w:val="00344606"/>
    <w:rsid w:val="00357AAA"/>
    <w:rsid w:val="00357CED"/>
    <w:rsid w:val="00365CF8"/>
    <w:rsid w:val="0037683F"/>
    <w:rsid w:val="0038026E"/>
    <w:rsid w:val="003915A1"/>
    <w:rsid w:val="003A3E8C"/>
    <w:rsid w:val="003B34A2"/>
    <w:rsid w:val="003B4ADE"/>
    <w:rsid w:val="003B7F16"/>
    <w:rsid w:val="003F0D47"/>
    <w:rsid w:val="00412286"/>
    <w:rsid w:val="00414A43"/>
    <w:rsid w:val="004224FB"/>
    <w:rsid w:val="004259ED"/>
    <w:rsid w:val="004334A1"/>
    <w:rsid w:val="004346F8"/>
    <w:rsid w:val="004434F7"/>
    <w:rsid w:val="00445035"/>
    <w:rsid w:val="00446088"/>
    <w:rsid w:val="00450686"/>
    <w:rsid w:val="00454B76"/>
    <w:rsid w:val="0047760D"/>
    <w:rsid w:val="0048341E"/>
    <w:rsid w:val="004976B7"/>
    <w:rsid w:val="004B46D5"/>
    <w:rsid w:val="004D58F1"/>
    <w:rsid w:val="004E2836"/>
    <w:rsid w:val="004E2E7D"/>
    <w:rsid w:val="004F0102"/>
    <w:rsid w:val="00510EF3"/>
    <w:rsid w:val="005276C9"/>
    <w:rsid w:val="0053753F"/>
    <w:rsid w:val="00540FCF"/>
    <w:rsid w:val="00575CE7"/>
    <w:rsid w:val="00593A62"/>
    <w:rsid w:val="005B3385"/>
    <w:rsid w:val="005E1B23"/>
    <w:rsid w:val="005E2A99"/>
    <w:rsid w:val="00610404"/>
    <w:rsid w:val="00613644"/>
    <w:rsid w:val="00633D37"/>
    <w:rsid w:val="00635693"/>
    <w:rsid w:val="00661379"/>
    <w:rsid w:val="0066362B"/>
    <w:rsid w:val="0068125F"/>
    <w:rsid w:val="00684615"/>
    <w:rsid w:val="006A1508"/>
    <w:rsid w:val="006A1CA6"/>
    <w:rsid w:val="006A2206"/>
    <w:rsid w:val="006A67C5"/>
    <w:rsid w:val="006B0561"/>
    <w:rsid w:val="006C1EEE"/>
    <w:rsid w:val="006C48B1"/>
    <w:rsid w:val="006C7529"/>
    <w:rsid w:val="006F26AA"/>
    <w:rsid w:val="006F5926"/>
    <w:rsid w:val="006F641C"/>
    <w:rsid w:val="00703C5E"/>
    <w:rsid w:val="00707994"/>
    <w:rsid w:val="00720C5F"/>
    <w:rsid w:val="007361A9"/>
    <w:rsid w:val="007503EE"/>
    <w:rsid w:val="00755EE6"/>
    <w:rsid w:val="00757E9E"/>
    <w:rsid w:val="00762300"/>
    <w:rsid w:val="007752A9"/>
    <w:rsid w:val="007A4470"/>
    <w:rsid w:val="007C4BB0"/>
    <w:rsid w:val="007D74D9"/>
    <w:rsid w:val="007D77D5"/>
    <w:rsid w:val="007E122C"/>
    <w:rsid w:val="007F77D5"/>
    <w:rsid w:val="00826AB2"/>
    <w:rsid w:val="00827B3F"/>
    <w:rsid w:val="00840DBF"/>
    <w:rsid w:val="008649E5"/>
    <w:rsid w:val="00867D81"/>
    <w:rsid w:val="008757B6"/>
    <w:rsid w:val="0087659C"/>
    <w:rsid w:val="0088339E"/>
    <w:rsid w:val="00886E28"/>
    <w:rsid w:val="00890D88"/>
    <w:rsid w:val="008A4084"/>
    <w:rsid w:val="008B44F2"/>
    <w:rsid w:val="008B6027"/>
    <w:rsid w:val="008E0773"/>
    <w:rsid w:val="0091656A"/>
    <w:rsid w:val="009323FE"/>
    <w:rsid w:val="00933787"/>
    <w:rsid w:val="00937D2E"/>
    <w:rsid w:val="00940ADA"/>
    <w:rsid w:val="00962E49"/>
    <w:rsid w:val="009646C0"/>
    <w:rsid w:val="00971AE3"/>
    <w:rsid w:val="009849E9"/>
    <w:rsid w:val="009C12AF"/>
    <w:rsid w:val="009D6926"/>
    <w:rsid w:val="00A075AD"/>
    <w:rsid w:val="00A105AF"/>
    <w:rsid w:val="00A22D8F"/>
    <w:rsid w:val="00A35AFC"/>
    <w:rsid w:val="00A415D9"/>
    <w:rsid w:val="00A4265F"/>
    <w:rsid w:val="00A54C65"/>
    <w:rsid w:val="00A6190C"/>
    <w:rsid w:val="00A64771"/>
    <w:rsid w:val="00A81E26"/>
    <w:rsid w:val="00A84934"/>
    <w:rsid w:val="00A86C53"/>
    <w:rsid w:val="00A9349A"/>
    <w:rsid w:val="00AA6048"/>
    <w:rsid w:val="00AB6C56"/>
    <w:rsid w:val="00AB7631"/>
    <w:rsid w:val="00AB7BAC"/>
    <w:rsid w:val="00AD6340"/>
    <w:rsid w:val="00AF5956"/>
    <w:rsid w:val="00B025F6"/>
    <w:rsid w:val="00B158EE"/>
    <w:rsid w:val="00B24EAA"/>
    <w:rsid w:val="00B3147E"/>
    <w:rsid w:val="00B32D6E"/>
    <w:rsid w:val="00B57ECA"/>
    <w:rsid w:val="00B61FD7"/>
    <w:rsid w:val="00B83D11"/>
    <w:rsid w:val="00B94C0B"/>
    <w:rsid w:val="00BB60AD"/>
    <w:rsid w:val="00BC0F16"/>
    <w:rsid w:val="00BC354B"/>
    <w:rsid w:val="00BD222B"/>
    <w:rsid w:val="00BE3DEE"/>
    <w:rsid w:val="00BE4512"/>
    <w:rsid w:val="00C103D4"/>
    <w:rsid w:val="00C42317"/>
    <w:rsid w:val="00C53A71"/>
    <w:rsid w:val="00C6385B"/>
    <w:rsid w:val="00C924CF"/>
    <w:rsid w:val="00CB4234"/>
    <w:rsid w:val="00CC44AC"/>
    <w:rsid w:val="00D364AE"/>
    <w:rsid w:val="00D635D2"/>
    <w:rsid w:val="00D66250"/>
    <w:rsid w:val="00D70A32"/>
    <w:rsid w:val="00DB6C90"/>
    <w:rsid w:val="00DC4892"/>
    <w:rsid w:val="00DC5E31"/>
    <w:rsid w:val="00DE039F"/>
    <w:rsid w:val="00DF67C1"/>
    <w:rsid w:val="00E323B4"/>
    <w:rsid w:val="00E414DC"/>
    <w:rsid w:val="00E4157A"/>
    <w:rsid w:val="00E44500"/>
    <w:rsid w:val="00E465BC"/>
    <w:rsid w:val="00E56500"/>
    <w:rsid w:val="00E66CB5"/>
    <w:rsid w:val="00E67452"/>
    <w:rsid w:val="00E70629"/>
    <w:rsid w:val="00E73AB7"/>
    <w:rsid w:val="00E82115"/>
    <w:rsid w:val="00E83430"/>
    <w:rsid w:val="00EB133E"/>
    <w:rsid w:val="00EB1640"/>
    <w:rsid w:val="00EC7B53"/>
    <w:rsid w:val="00EC7E71"/>
    <w:rsid w:val="00EE23EC"/>
    <w:rsid w:val="00EF29BA"/>
    <w:rsid w:val="00F02125"/>
    <w:rsid w:val="00F05FB7"/>
    <w:rsid w:val="00F061BB"/>
    <w:rsid w:val="00F15DFF"/>
    <w:rsid w:val="00F17A6F"/>
    <w:rsid w:val="00F23837"/>
    <w:rsid w:val="00F366B9"/>
    <w:rsid w:val="00F37698"/>
    <w:rsid w:val="00F43FF4"/>
    <w:rsid w:val="00F51C22"/>
    <w:rsid w:val="00F5567A"/>
    <w:rsid w:val="00F82FA6"/>
    <w:rsid w:val="00F851AA"/>
    <w:rsid w:val="00F9706F"/>
    <w:rsid w:val="00FB430C"/>
    <w:rsid w:val="00FC5D0E"/>
    <w:rsid w:val="00FD54B7"/>
    <w:rsid w:val="00FD7054"/>
    <w:rsid w:val="00FE3087"/>
    <w:rsid w:val="00FF17DC"/>
    <w:rsid w:val="00FF3150"/>
    <w:rsid w:val="00FF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lsdException w:name="footnote reference" w:uiPriority="0" w:qFormat="1"/>
    <w:lsdException w:name="page number" w:uiPriority="0"/>
    <w:lsdException w:name="Title" w:semiHidden="0" w:uiPriority="0" w:unhideWhenUsed="0" w:qFormat="1"/>
    <w:lsdException w:name="Default Paragraph Font" w:uiPriority="0"/>
    <w:lsdException w:name="Body Text Inden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E82115"/>
    <w:pPr>
      <w:spacing w:after="0" w:line="240" w:lineRule="auto"/>
      <w:jc w:val="both"/>
    </w:pPr>
    <w:rPr>
      <w:rFonts w:eastAsiaTheme="minorHAnsi"/>
      <w:lang w:val="en-GB" w:bidi="ar-SA"/>
    </w:rPr>
  </w:style>
  <w:style w:type="paragraph" w:styleId="Heading1">
    <w:name w:val="heading 1"/>
    <w:basedOn w:val="Normal"/>
    <w:next w:val="Normal"/>
    <w:link w:val="Heading1Char"/>
    <w:qFormat/>
    <w:rsid w:val="006C48B1"/>
    <w:pPr>
      <w:keepNext/>
      <w:jc w:val="center"/>
      <w:outlineLvl w:val="0"/>
    </w:pPr>
    <w:rPr>
      <w:b/>
      <w:kern w:val="28"/>
      <w:sz w:val="40"/>
    </w:rPr>
  </w:style>
  <w:style w:type="paragraph" w:styleId="Heading2">
    <w:name w:val="heading 2"/>
    <w:basedOn w:val="Normal"/>
    <w:next w:val="Normal"/>
    <w:link w:val="Heading2Char"/>
    <w:qFormat/>
    <w:rsid w:val="006C48B1"/>
    <w:pPr>
      <w:keepNext/>
      <w:spacing w:before="480" w:after="240"/>
      <w:jc w:val="left"/>
      <w:outlineLvl w:val="1"/>
    </w:pPr>
    <w:rPr>
      <w:rFonts w:cs="Arial"/>
      <w:b/>
      <w:bCs/>
      <w:iCs/>
      <w:sz w:val="32"/>
      <w:szCs w:val="32"/>
    </w:rPr>
  </w:style>
  <w:style w:type="paragraph" w:styleId="Heading3">
    <w:name w:val="heading 3"/>
    <w:basedOn w:val="Normal"/>
    <w:next w:val="Normal"/>
    <w:link w:val="Heading3Char"/>
    <w:qFormat/>
    <w:rsid w:val="006C48B1"/>
    <w:pPr>
      <w:keepNext/>
      <w:spacing w:before="420" w:after="240"/>
      <w:jc w:val="left"/>
      <w:outlineLvl w:val="2"/>
    </w:pPr>
    <w:rPr>
      <w:b/>
      <w:sz w:val="28"/>
      <w:szCs w:val="28"/>
    </w:rPr>
  </w:style>
  <w:style w:type="paragraph" w:styleId="Heading4">
    <w:name w:val="heading 4"/>
    <w:basedOn w:val="Normal"/>
    <w:next w:val="Normal"/>
    <w:link w:val="Heading4Char"/>
    <w:qFormat/>
    <w:rsid w:val="006C48B1"/>
    <w:pPr>
      <w:keepNext/>
      <w:spacing w:before="240" w:after="120"/>
      <w:jc w:val="left"/>
      <w:outlineLvl w:val="3"/>
    </w:pPr>
    <w:rPr>
      <w:b/>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8B1"/>
    <w:rPr>
      <w:rFonts w:ascii="Times New Roman" w:eastAsia="Times New Roman" w:hAnsi="Times New Roman" w:cs="Times New Roman"/>
      <w:b/>
      <w:kern w:val="28"/>
      <w:sz w:val="40"/>
      <w:szCs w:val="20"/>
      <w:lang w:val="en-GB" w:bidi="ar-SA"/>
    </w:rPr>
  </w:style>
  <w:style w:type="character" w:customStyle="1" w:styleId="Heading2Char">
    <w:name w:val="Heading 2 Char"/>
    <w:basedOn w:val="DefaultParagraphFont"/>
    <w:link w:val="Heading2"/>
    <w:rsid w:val="006C48B1"/>
    <w:rPr>
      <w:rFonts w:ascii="Times New Roman" w:eastAsia="Times New Roman" w:hAnsi="Times New Roman" w:cs="Arial"/>
      <w:b/>
      <w:bCs/>
      <w:iCs/>
      <w:sz w:val="32"/>
      <w:szCs w:val="32"/>
      <w:lang w:val="en-GB" w:bidi="ar-SA"/>
    </w:rPr>
  </w:style>
  <w:style w:type="character" w:customStyle="1" w:styleId="Heading3Char">
    <w:name w:val="Heading 3 Char"/>
    <w:basedOn w:val="DefaultParagraphFont"/>
    <w:link w:val="Heading3"/>
    <w:rsid w:val="006C48B1"/>
    <w:rPr>
      <w:rFonts w:ascii="Times New Roman" w:eastAsia="Times New Roman" w:hAnsi="Times New Roman" w:cs="Times New Roman"/>
      <w:b/>
      <w:sz w:val="28"/>
      <w:szCs w:val="28"/>
      <w:lang w:val="en-GB" w:bidi="ar-SA"/>
    </w:rPr>
  </w:style>
  <w:style w:type="character" w:customStyle="1" w:styleId="Heading4Char">
    <w:name w:val="Heading 4 Char"/>
    <w:basedOn w:val="DefaultParagraphFont"/>
    <w:link w:val="Heading4"/>
    <w:rsid w:val="006C48B1"/>
    <w:rPr>
      <w:rFonts w:ascii="Times New Roman" w:eastAsia="Times New Roman" w:hAnsi="Times New Roman" w:cs="Times New Roman"/>
      <w:b/>
      <w:sz w:val="24"/>
      <w:szCs w:val="20"/>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6C48B1"/>
    <w:pPr>
      <w:spacing w:before="240" w:after="60"/>
      <w:jc w:val="center"/>
      <w:outlineLvl w:val="0"/>
    </w:pPr>
    <w:rPr>
      <w:rFonts w:cs="Arial"/>
      <w:b/>
      <w:bCs/>
      <w:kern w:val="28"/>
      <w:sz w:val="52"/>
      <w:szCs w:val="32"/>
    </w:rPr>
  </w:style>
  <w:style w:type="character" w:customStyle="1" w:styleId="TitleChar">
    <w:name w:val="Title Char"/>
    <w:basedOn w:val="DefaultParagraphFont"/>
    <w:link w:val="Title"/>
    <w:uiPriority w:val="1"/>
    <w:rsid w:val="00015FEB"/>
    <w:rPr>
      <w:rFonts w:cs="Arial"/>
      <w:b/>
      <w:bCs/>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99"/>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3"/>
      </w:numPr>
      <w:spacing w:after="240"/>
    </w:pPr>
    <w:rPr>
      <w:i/>
    </w:rPr>
  </w:style>
  <w:style w:type="paragraph" w:styleId="Footer">
    <w:name w:val="footer"/>
    <w:basedOn w:val="Normal"/>
    <w:link w:val="FooterChar"/>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qFormat/>
    <w:rsid w:val="006C48B1"/>
    <w:rPr>
      <w:vertAlign w:val="superscript"/>
    </w:rPr>
  </w:style>
  <w:style w:type="paragraph" w:styleId="FootnoteText">
    <w:name w:val="footnote text"/>
    <w:aliases w:val=" Char,Footnote Text Char Char Char,Footnote Text Char Char Char Char,Footnote Text1,Footnote Text Char Char Char Char Char Char1 Char,Footnote Text Char Char Char Char Char, Char Char Char Char,Footnote Text Char Char Char Char Char Char"/>
    <w:basedOn w:val="Normal"/>
    <w:link w:val="FootnoteTextChar"/>
    <w:qFormat/>
    <w:rsid w:val="00BC0F16"/>
    <w:pPr>
      <w:jc w:val="left"/>
    </w:pPr>
    <w:rPr>
      <w:sz w:val="18"/>
      <w:lang w:bidi="en-US"/>
    </w:rPr>
  </w:style>
  <w:style w:type="character" w:customStyle="1" w:styleId="FootnoteTextChar">
    <w:name w:val="Footnote Text Char"/>
    <w:aliases w:val=" Char Char,Footnote Text Char Char Char Char1,Footnote Text Char Char Char Char Char1,Footnote Text1 Char,Footnote Text Char Char Char Char Char Char1 Char Char,Footnote Text Char Char Char Char Char Char1, Char Char Char Char Char"/>
    <w:basedOn w:val="DefaultParagraphFont"/>
    <w:link w:val="FootnoteText"/>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99"/>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qFormat/>
    <w:rsid w:val="006C48B1"/>
    <w:pPr>
      <w:keepNext/>
      <w:keepLines/>
      <w:numPr>
        <w:numId w:val="2"/>
      </w:numPr>
      <w:spacing w:after="240"/>
    </w:pPr>
    <w:rPr>
      <w:i/>
      <w:lang w:val="en-US"/>
    </w:rPr>
  </w:style>
  <w:style w:type="character" w:styleId="CommentReference">
    <w:name w:val="annotation reference"/>
    <w:basedOn w:val="DefaultParagraphFont"/>
    <w:uiPriority w:val="99"/>
    <w:semiHidden/>
    <w:unhideWhenUsed/>
    <w:rsid w:val="000C5D64"/>
    <w:rPr>
      <w:sz w:val="16"/>
      <w:szCs w:val="16"/>
    </w:rPr>
  </w:style>
  <w:style w:type="paragraph" w:styleId="CommentText">
    <w:name w:val="annotation text"/>
    <w:basedOn w:val="Normal"/>
    <w:link w:val="CommentTextChar"/>
    <w:uiPriority w:val="99"/>
    <w:unhideWhenUsed/>
    <w:rsid w:val="000C5D64"/>
    <w:rPr>
      <w:sz w:val="20"/>
      <w:szCs w:val="20"/>
    </w:rPr>
  </w:style>
  <w:style w:type="character" w:customStyle="1" w:styleId="CommentTextChar">
    <w:name w:val="Comment Text Char"/>
    <w:basedOn w:val="DefaultParagraphFont"/>
    <w:link w:val="CommentText"/>
    <w:uiPriority w:val="99"/>
    <w:rsid w:val="000C5D64"/>
    <w:rPr>
      <w:rFonts w:eastAsiaTheme="minorHAnsi"/>
      <w:sz w:val="20"/>
      <w:szCs w:val="20"/>
      <w:lang w:val="en-GB" w:bidi="ar-SA"/>
    </w:rPr>
  </w:style>
  <w:style w:type="paragraph" w:styleId="CommentSubject">
    <w:name w:val="annotation subject"/>
    <w:basedOn w:val="CommentText"/>
    <w:next w:val="CommentText"/>
    <w:link w:val="CommentSubjectChar"/>
    <w:uiPriority w:val="99"/>
    <w:semiHidden/>
    <w:unhideWhenUsed/>
    <w:rsid w:val="000C5D64"/>
    <w:rPr>
      <w:b/>
      <w:bCs/>
    </w:rPr>
  </w:style>
  <w:style w:type="character" w:customStyle="1" w:styleId="CommentSubjectChar">
    <w:name w:val="Comment Subject Char"/>
    <w:basedOn w:val="CommentTextChar"/>
    <w:link w:val="CommentSubject"/>
    <w:uiPriority w:val="99"/>
    <w:semiHidden/>
    <w:rsid w:val="000C5D64"/>
    <w:rPr>
      <w:rFonts w:eastAsiaTheme="minorHAnsi"/>
      <w:b/>
      <w:bCs/>
      <w:sz w:val="20"/>
      <w:szCs w:val="20"/>
      <w:lang w:val="en-GB" w:bidi="ar-SA"/>
    </w:rPr>
  </w:style>
  <w:style w:type="paragraph" w:styleId="BalloonText">
    <w:name w:val="Balloon Text"/>
    <w:basedOn w:val="Normal"/>
    <w:link w:val="BalloonTextChar"/>
    <w:uiPriority w:val="99"/>
    <w:semiHidden/>
    <w:unhideWhenUsed/>
    <w:rsid w:val="000C5D64"/>
    <w:rPr>
      <w:rFonts w:ascii="Tahoma" w:hAnsi="Tahoma" w:cs="Tahoma"/>
      <w:sz w:val="16"/>
      <w:szCs w:val="16"/>
    </w:rPr>
  </w:style>
  <w:style w:type="character" w:customStyle="1" w:styleId="BalloonTextChar">
    <w:name w:val="Balloon Text Char"/>
    <w:basedOn w:val="DefaultParagraphFont"/>
    <w:link w:val="BalloonText"/>
    <w:uiPriority w:val="99"/>
    <w:semiHidden/>
    <w:rsid w:val="000C5D64"/>
    <w:rPr>
      <w:rFonts w:ascii="Tahoma" w:eastAsiaTheme="minorHAnsi" w:hAnsi="Tahoma" w:cs="Tahoma"/>
      <w:sz w:val="16"/>
      <w:szCs w:val="16"/>
      <w:lang w:val="en-GB" w:bidi="ar-SA"/>
    </w:rPr>
  </w:style>
  <w:style w:type="table" w:styleId="TableGrid">
    <w:name w:val="Table Grid"/>
    <w:basedOn w:val="TableNormal"/>
    <w:uiPriority w:val="59"/>
    <w:rsid w:val="00D63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 Char Char1,Footnote Text Char Char Char Char2,Footnote Text Char Char Char Char Char2,Footnote Text1 Char1,Footnote Text Char Char Char Char Char Char1 Char Char1,Footnote Text Char Char Char Char Char Char2"/>
    <w:rsid w:val="003F0D47"/>
    <w:rPr>
      <w:rFonts w:ascii="Garamond" w:hAnsi="Garamond"/>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lsdException w:name="footnote reference" w:uiPriority="0" w:qFormat="1"/>
    <w:lsdException w:name="page number" w:uiPriority="0"/>
    <w:lsdException w:name="Title" w:semiHidden="0" w:uiPriority="0" w:unhideWhenUsed="0" w:qFormat="1"/>
    <w:lsdException w:name="Default Paragraph Font" w:uiPriority="0"/>
    <w:lsdException w:name="Body Text Inden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E82115"/>
    <w:pPr>
      <w:spacing w:after="0" w:line="240" w:lineRule="auto"/>
      <w:jc w:val="both"/>
    </w:pPr>
    <w:rPr>
      <w:rFonts w:eastAsiaTheme="minorHAnsi"/>
      <w:lang w:val="en-GB" w:bidi="ar-SA"/>
    </w:rPr>
  </w:style>
  <w:style w:type="paragraph" w:styleId="Heading1">
    <w:name w:val="heading 1"/>
    <w:basedOn w:val="Normal"/>
    <w:next w:val="Normal"/>
    <w:link w:val="Heading1Char"/>
    <w:qFormat/>
    <w:rsid w:val="006C48B1"/>
    <w:pPr>
      <w:keepNext/>
      <w:jc w:val="center"/>
      <w:outlineLvl w:val="0"/>
    </w:pPr>
    <w:rPr>
      <w:b/>
      <w:kern w:val="28"/>
      <w:sz w:val="40"/>
    </w:rPr>
  </w:style>
  <w:style w:type="paragraph" w:styleId="Heading2">
    <w:name w:val="heading 2"/>
    <w:basedOn w:val="Normal"/>
    <w:next w:val="Normal"/>
    <w:link w:val="Heading2Char"/>
    <w:qFormat/>
    <w:rsid w:val="006C48B1"/>
    <w:pPr>
      <w:keepNext/>
      <w:spacing w:before="480" w:after="240"/>
      <w:jc w:val="left"/>
      <w:outlineLvl w:val="1"/>
    </w:pPr>
    <w:rPr>
      <w:rFonts w:cs="Arial"/>
      <w:b/>
      <w:bCs/>
      <w:iCs/>
      <w:sz w:val="32"/>
      <w:szCs w:val="32"/>
    </w:rPr>
  </w:style>
  <w:style w:type="paragraph" w:styleId="Heading3">
    <w:name w:val="heading 3"/>
    <w:basedOn w:val="Normal"/>
    <w:next w:val="Normal"/>
    <w:link w:val="Heading3Char"/>
    <w:qFormat/>
    <w:rsid w:val="006C48B1"/>
    <w:pPr>
      <w:keepNext/>
      <w:spacing w:before="420" w:after="240"/>
      <w:jc w:val="left"/>
      <w:outlineLvl w:val="2"/>
    </w:pPr>
    <w:rPr>
      <w:b/>
      <w:sz w:val="28"/>
      <w:szCs w:val="28"/>
    </w:rPr>
  </w:style>
  <w:style w:type="paragraph" w:styleId="Heading4">
    <w:name w:val="heading 4"/>
    <w:basedOn w:val="Normal"/>
    <w:next w:val="Normal"/>
    <w:link w:val="Heading4Char"/>
    <w:qFormat/>
    <w:rsid w:val="006C48B1"/>
    <w:pPr>
      <w:keepNext/>
      <w:spacing w:before="240" w:after="120"/>
      <w:jc w:val="left"/>
      <w:outlineLvl w:val="3"/>
    </w:pPr>
    <w:rPr>
      <w:b/>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8B1"/>
    <w:rPr>
      <w:rFonts w:ascii="Times New Roman" w:eastAsia="Times New Roman" w:hAnsi="Times New Roman" w:cs="Times New Roman"/>
      <w:b/>
      <w:kern w:val="28"/>
      <w:sz w:val="40"/>
      <w:szCs w:val="20"/>
      <w:lang w:val="en-GB" w:bidi="ar-SA"/>
    </w:rPr>
  </w:style>
  <w:style w:type="character" w:customStyle="1" w:styleId="Heading2Char">
    <w:name w:val="Heading 2 Char"/>
    <w:basedOn w:val="DefaultParagraphFont"/>
    <w:link w:val="Heading2"/>
    <w:rsid w:val="006C48B1"/>
    <w:rPr>
      <w:rFonts w:ascii="Times New Roman" w:eastAsia="Times New Roman" w:hAnsi="Times New Roman" w:cs="Arial"/>
      <w:b/>
      <w:bCs/>
      <w:iCs/>
      <w:sz w:val="32"/>
      <w:szCs w:val="32"/>
      <w:lang w:val="en-GB" w:bidi="ar-SA"/>
    </w:rPr>
  </w:style>
  <w:style w:type="character" w:customStyle="1" w:styleId="Heading3Char">
    <w:name w:val="Heading 3 Char"/>
    <w:basedOn w:val="DefaultParagraphFont"/>
    <w:link w:val="Heading3"/>
    <w:rsid w:val="006C48B1"/>
    <w:rPr>
      <w:rFonts w:ascii="Times New Roman" w:eastAsia="Times New Roman" w:hAnsi="Times New Roman" w:cs="Times New Roman"/>
      <w:b/>
      <w:sz w:val="28"/>
      <w:szCs w:val="28"/>
      <w:lang w:val="en-GB" w:bidi="ar-SA"/>
    </w:rPr>
  </w:style>
  <w:style w:type="character" w:customStyle="1" w:styleId="Heading4Char">
    <w:name w:val="Heading 4 Char"/>
    <w:basedOn w:val="DefaultParagraphFont"/>
    <w:link w:val="Heading4"/>
    <w:rsid w:val="006C48B1"/>
    <w:rPr>
      <w:rFonts w:ascii="Times New Roman" w:eastAsia="Times New Roman" w:hAnsi="Times New Roman" w:cs="Times New Roman"/>
      <w:b/>
      <w:sz w:val="24"/>
      <w:szCs w:val="20"/>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6C48B1"/>
    <w:pPr>
      <w:spacing w:before="240" w:after="60"/>
      <w:jc w:val="center"/>
      <w:outlineLvl w:val="0"/>
    </w:pPr>
    <w:rPr>
      <w:rFonts w:cs="Arial"/>
      <w:b/>
      <w:bCs/>
      <w:kern w:val="28"/>
      <w:sz w:val="52"/>
      <w:szCs w:val="32"/>
    </w:rPr>
  </w:style>
  <w:style w:type="character" w:customStyle="1" w:styleId="TitleChar">
    <w:name w:val="Title Char"/>
    <w:basedOn w:val="DefaultParagraphFont"/>
    <w:link w:val="Title"/>
    <w:uiPriority w:val="1"/>
    <w:rsid w:val="00015FEB"/>
    <w:rPr>
      <w:rFonts w:cs="Arial"/>
      <w:b/>
      <w:bCs/>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99"/>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3"/>
      </w:numPr>
      <w:spacing w:after="240"/>
    </w:pPr>
    <w:rPr>
      <w:i/>
    </w:rPr>
  </w:style>
  <w:style w:type="paragraph" w:styleId="Footer">
    <w:name w:val="footer"/>
    <w:basedOn w:val="Normal"/>
    <w:link w:val="FooterChar"/>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qFormat/>
    <w:rsid w:val="006C48B1"/>
    <w:rPr>
      <w:vertAlign w:val="superscript"/>
    </w:rPr>
  </w:style>
  <w:style w:type="paragraph" w:styleId="FootnoteText">
    <w:name w:val="footnote text"/>
    <w:aliases w:val=" Char,Footnote Text Char Char Char,Footnote Text Char Char Char Char,Footnote Text1,Footnote Text Char Char Char Char Char Char1 Char,Footnote Text Char Char Char Char Char, Char Char Char Char,Footnote Text Char Char Char Char Char Char"/>
    <w:basedOn w:val="Normal"/>
    <w:link w:val="FootnoteTextChar"/>
    <w:qFormat/>
    <w:rsid w:val="00BC0F16"/>
    <w:pPr>
      <w:jc w:val="left"/>
    </w:pPr>
    <w:rPr>
      <w:sz w:val="18"/>
      <w:lang w:bidi="en-US"/>
    </w:rPr>
  </w:style>
  <w:style w:type="character" w:customStyle="1" w:styleId="FootnoteTextChar">
    <w:name w:val="Footnote Text Char"/>
    <w:aliases w:val=" Char Char,Footnote Text Char Char Char Char1,Footnote Text Char Char Char Char Char1,Footnote Text1 Char,Footnote Text Char Char Char Char Char Char1 Char Char,Footnote Text Char Char Char Char Char Char1, Char Char Char Char Char"/>
    <w:basedOn w:val="DefaultParagraphFont"/>
    <w:link w:val="FootnoteText"/>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99"/>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qFormat/>
    <w:rsid w:val="006C48B1"/>
    <w:pPr>
      <w:keepNext/>
      <w:keepLines/>
      <w:numPr>
        <w:numId w:val="2"/>
      </w:numPr>
      <w:spacing w:after="240"/>
    </w:pPr>
    <w:rPr>
      <w:i/>
      <w:lang w:val="en-US"/>
    </w:rPr>
  </w:style>
  <w:style w:type="character" w:styleId="CommentReference">
    <w:name w:val="annotation reference"/>
    <w:basedOn w:val="DefaultParagraphFont"/>
    <w:uiPriority w:val="99"/>
    <w:semiHidden/>
    <w:unhideWhenUsed/>
    <w:rsid w:val="000C5D64"/>
    <w:rPr>
      <w:sz w:val="16"/>
      <w:szCs w:val="16"/>
    </w:rPr>
  </w:style>
  <w:style w:type="paragraph" w:styleId="CommentText">
    <w:name w:val="annotation text"/>
    <w:basedOn w:val="Normal"/>
    <w:link w:val="CommentTextChar"/>
    <w:uiPriority w:val="99"/>
    <w:unhideWhenUsed/>
    <w:rsid w:val="000C5D64"/>
    <w:rPr>
      <w:sz w:val="20"/>
      <w:szCs w:val="20"/>
    </w:rPr>
  </w:style>
  <w:style w:type="character" w:customStyle="1" w:styleId="CommentTextChar">
    <w:name w:val="Comment Text Char"/>
    <w:basedOn w:val="DefaultParagraphFont"/>
    <w:link w:val="CommentText"/>
    <w:uiPriority w:val="99"/>
    <w:rsid w:val="000C5D64"/>
    <w:rPr>
      <w:rFonts w:eastAsiaTheme="minorHAnsi"/>
      <w:sz w:val="20"/>
      <w:szCs w:val="20"/>
      <w:lang w:val="en-GB" w:bidi="ar-SA"/>
    </w:rPr>
  </w:style>
  <w:style w:type="paragraph" w:styleId="CommentSubject">
    <w:name w:val="annotation subject"/>
    <w:basedOn w:val="CommentText"/>
    <w:next w:val="CommentText"/>
    <w:link w:val="CommentSubjectChar"/>
    <w:uiPriority w:val="99"/>
    <w:semiHidden/>
    <w:unhideWhenUsed/>
    <w:rsid w:val="000C5D64"/>
    <w:rPr>
      <w:b/>
      <w:bCs/>
    </w:rPr>
  </w:style>
  <w:style w:type="character" w:customStyle="1" w:styleId="CommentSubjectChar">
    <w:name w:val="Comment Subject Char"/>
    <w:basedOn w:val="CommentTextChar"/>
    <w:link w:val="CommentSubject"/>
    <w:uiPriority w:val="99"/>
    <w:semiHidden/>
    <w:rsid w:val="000C5D64"/>
    <w:rPr>
      <w:rFonts w:eastAsiaTheme="minorHAnsi"/>
      <w:b/>
      <w:bCs/>
      <w:sz w:val="20"/>
      <w:szCs w:val="20"/>
      <w:lang w:val="en-GB" w:bidi="ar-SA"/>
    </w:rPr>
  </w:style>
  <w:style w:type="paragraph" w:styleId="BalloonText">
    <w:name w:val="Balloon Text"/>
    <w:basedOn w:val="Normal"/>
    <w:link w:val="BalloonTextChar"/>
    <w:uiPriority w:val="99"/>
    <w:semiHidden/>
    <w:unhideWhenUsed/>
    <w:rsid w:val="000C5D64"/>
    <w:rPr>
      <w:rFonts w:ascii="Tahoma" w:hAnsi="Tahoma" w:cs="Tahoma"/>
      <w:sz w:val="16"/>
      <w:szCs w:val="16"/>
    </w:rPr>
  </w:style>
  <w:style w:type="character" w:customStyle="1" w:styleId="BalloonTextChar">
    <w:name w:val="Balloon Text Char"/>
    <w:basedOn w:val="DefaultParagraphFont"/>
    <w:link w:val="BalloonText"/>
    <w:uiPriority w:val="99"/>
    <w:semiHidden/>
    <w:rsid w:val="000C5D64"/>
    <w:rPr>
      <w:rFonts w:ascii="Tahoma" w:eastAsiaTheme="minorHAnsi" w:hAnsi="Tahoma" w:cs="Tahoma"/>
      <w:sz w:val="16"/>
      <w:szCs w:val="16"/>
      <w:lang w:val="en-GB" w:bidi="ar-SA"/>
    </w:rPr>
  </w:style>
  <w:style w:type="table" w:styleId="TableGrid">
    <w:name w:val="Table Grid"/>
    <w:basedOn w:val="TableNormal"/>
    <w:uiPriority w:val="59"/>
    <w:rsid w:val="00D63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 Char Char1,Footnote Text Char Char Char Char2,Footnote Text Char Char Char Char Char2,Footnote Text1 Char1,Footnote Text Char Char Char Char Char Char1 Char Char1,Footnote Text Char Char Char Char Char Char2"/>
    <w:rsid w:val="003F0D47"/>
    <w:rPr>
      <w:rFonts w:ascii="Garamond" w:hAnsi="Garamond"/>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7567">
      <w:bodyDiv w:val="1"/>
      <w:marLeft w:val="0"/>
      <w:marRight w:val="0"/>
      <w:marTop w:val="0"/>
      <w:marBottom w:val="0"/>
      <w:divBdr>
        <w:top w:val="none" w:sz="0" w:space="0" w:color="auto"/>
        <w:left w:val="none" w:sz="0" w:space="0" w:color="auto"/>
        <w:bottom w:val="none" w:sz="0" w:space="0" w:color="auto"/>
        <w:right w:val="none" w:sz="0" w:space="0" w:color="auto"/>
      </w:divBdr>
    </w:div>
    <w:div w:id="756901249">
      <w:bodyDiv w:val="1"/>
      <w:marLeft w:val="0"/>
      <w:marRight w:val="0"/>
      <w:marTop w:val="0"/>
      <w:marBottom w:val="0"/>
      <w:divBdr>
        <w:top w:val="none" w:sz="0" w:space="0" w:color="auto"/>
        <w:left w:val="none" w:sz="0" w:space="0" w:color="auto"/>
        <w:bottom w:val="none" w:sz="0" w:space="0" w:color="auto"/>
        <w:right w:val="none" w:sz="0" w:space="0" w:color="auto"/>
      </w:divBdr>
    </w:div>
    <w:div w:id="1176069781">
      <w:bodyDiv w:val="1"/>
      <w:marLeft w:val="0"/>
      <w:marRight w:val="0"/>
      <w:marTop w:val="0"/>
      <w:marBottom w:val="0"/>
      <w:divBdr>
        <w:top w:val="none" w:sz="0" w:space="0" w:color="auto"/>
        <w:left w:val="none" w:sz="0" w:space="0" w:color="auto"/>
        <w:bottom w:val="none" w:sz="0" w:space="0" w:color="auto"/>
        <w:right w:val="none" w:sz="0" w:space="0" w:color="auto"/>
      </w:divBdr>
    </w:div>
    <w:div w:id="1776558329">
      <w:bodyDiv w:val="1"/>
      <w:marLeft w:val="0"/>
      <w:marRight w:val="0"/>
      <w:marTop w:val="0"/>
      <w:marBottom w:val="0"/>
      <w:divBdr>
        <w:top w:val="none" w:sz="0" w:space="0" w:color="auto"/>
        <w:left w:val="none" w:sz="0" w:space="0" w:color="auto"/>
        <w:bottom w:val="none" w:sz="0" w:space="0" w:color="auto"/>
        <w:right w:val="none" w:sz="0" w:space="0" w:color="auto"/>
      </w:divBdr>
    </w:div>
    <w:div w:id="20204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n.wiktionary.org/wiki/pod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20Butcher\AppData\Roaming\Microsoft\Templates\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Calibri Report.dotx</Template>
  <TotalTime>9</TotalTime>
  <Pages>1</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Neil</cp:lastModifiedBy>
  <cp:revision>5</cp:revision>
  <dcterms:created xsi:type="dcterms:W3CDTF">2011-11-21T18:41:00Z</dcterms:created>
  <dcterms:modified xsi:type="dcterms:W3CDTF">2011-11-21T18:49:00Z</dcterms:modified>
</cp:coreProperties>
</file>